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6326" w14:textId="77777777" w:rsidR="003D68F0" w:rsidRDefault="003D68F0" w:rsidP="003D68F0">
      <w:pPr>
        <w:pBdr>
          <w:top w:val="nil"/>
          <w:left w:val="nil"/>
          <w:bottom w:val="nil"/>
          <w:right w:val="nil"/>
          <w:between w:val="nil"/>
        </w:pBdr>
        <w:spacing w:before="120" w:after="120" w:line="360" w:lineRule="auto"/>
        <w:rPr>
          <w:rFonts w:cstheme="minorHAnsi"/>
          <w:b/>
          <w:color w:val="374151"/>
          <w:sz w:val="24"/>
          <w:szCs w:val="24"/>
          <w:lang w:val="en-GB"/>
        </w:rPr>
      </w:pPr>
    </w:p>
    <w:p w14:paraId="31876305" w14:textId="2FBC73CF" w:rsidR="00A959B5" w:rsidRPr="00E911F1" w:rsidRDefault="00A959B5" w:rsidP="00560CD2">
      <w:pPr>
        <w:pBdr>
          <w:top w:val="nil"/>
          <w:left w:val="nil"/>
          <w:bottom w:val="nil"/>
          <w:right w:val="nil"/>
          <w:between w:val="nil"/>
        </w:pBdr>
        <w:spacing w:before="120" w:after="120" w:line="360" w:lineRule="auto"/>
        <w:jc w:val="center"/>
        <w:rPr>
          <w:rFonts w:cstheme="minorHAnsi"/>
          <w:b/>
          <w:color w:val="374151"/>
          <w:sz w:val="24"/>
          <w:szCs w:val="24"/>
          <w:lang w:val="en-GB"/>
        </w:rPr>
      </w:pPr>
      <w:r w:rsidRPr="00E911F1">
        <w:rPr>
          <w:rFonts w:cstheme="minorHAnsi"/>
          <w:b/>
          <w:color w:val="374151"/>
          <w:sz w:val="24"/>
          <w:szCs w:val="24"/>
          <w:lang w:val="en-GB"/>
        </w:rPr>
        <w:t xml:space="preserve">Memorandum of Understanding of the Community of Practice </w:t>
      </w:r>
      <w:r w:rsidR="00380156" w:rsidRPr="00E911F1">
        <w:rPr>
          <w:rFonts w:cstheme="minorHAnsi"/>
          <w:b/>
          <w:color w:val="374151"/>
          <w:sz w:val="24"/>
          <w:szCs w:val="24"/>
          <w:lang w:val="en-GB"/>
        </w:rPr>
        <w:t>–</w:t>
      </w:r>
      <w:r w:rsidRPr="00E911F1">
        <w:rPr>
          <w:rFonts w:cstheme="minorHAnsi"/>
          <w:b/>
          <w:color w:val="374151"/>
          <w:sz w:val="24"/>
          <w:szCs w:val="24"/>
          <w:lang w:val="en-GB"/>
        </w:rPr>
        <w:t xml:space="preserve"> ONE</w:t>
      </w:r>
    </w:p>
    <w:p w14:paraId="3FBBE913" w14:textId="77777777" w:rsidR="00380156" w:rsidRPr="00E911F1" w:rsidRDefault="00380156" w:rsidP="00560CD2">
      <w:pPr>
        <w:pBdr>
          <w:top w:val="nil"/>
          <w:left w:val="nil"/>
          <w:bottom w:val="nil"/>
          <w:right w:val="nil"/>
          <w:between w:val="nil"/>
        </w:pBdr>
        <w:spacing w:after="0" w:line="360" w:lineRule="auto"/>
        <w:jc w:val="both"/>
        <w:rPr>
          <w:rFonts w:cstheme="minorHAnsi"/>
          <w:b/>
          <w:color w:val="374151"/>
          <w:sz w:val="24"/>
          <w:szCs w:val="24"/>
          <w:lang w:val="en-GB"/>
        </w:rPr>
      </w:pPr>
    </w:p>
    <w:p w14:paraId="4DDA35B8" w14:textId="4CD53BE0" w:rsidR="00380156" w:rsidRPr="003D68F0" w:rsidRDefault="00A959B5" w:rsidP="00560CD2">
      <w:pPr>
        <w:pBdr>
          <w:top w:val="nil"/>
          <w:left w:val="nil"/>
          <w:bottom w:val="nil"/>
          <w:right w:val="nil"/>
          <w:between w:val="nil"/>
        </w:pBdr>
        <w:spacing w:after="120" w:line="360" w:lineRule="auto"/>
        <w:jc w:val="both"/>
        <w:rPr>
          <w:rFonts w:cstheme="minorHAnsi"/>
          <w:b/>
          <w:color w:val="374151"/>
          <w:sz w:val="24"/>
          <w:szCs w:val="24"/>
          <w:lang w:val="en-GB"/>
        </w:rPr>
      </w:pPr>
      <w:r w:rsidRPr="003D68F0">
        <w:rPr>
          <w:rFonts w:cstheme="minorHAnsi"/>
          <w:b/>
          <w:color w:val="374151"/>
          <w:sz w:val="24"/>
          <w:szCs w:val="24"/>
          <w:lang w:val="en-GB"/>
        </w:rPr>
        <w:t>Background</w:t>
      </w:r>
    </w:p>
    <w:p w14:paraId="4F0E5D5B" w14:textId="2F440FAA" w:rsidR="004A71DA" w:rsidRDefault="00A959B5" w:rsidP="00560CD2">
      <w:pPr>
        <w:pBdr>
          <w:top w:val="nil"/>
          <w:left w:val="nil"/>
          <w:bottom w:val="nil"/>
          <w:right w:val="nil"/>
          <w:between w:val="nil"/>
        </w:pBdr>
        <w:spacing w:after="0" w:line="360" w:lineRule="auto"/>
        <w:jc w:val="both"/>
        <w:rPr>
          <w:rFonts w:cstheme="minorHAnsi"/>
          <w:color w:val="374151"/>
          <w:sz w:val="24"/>
          <w:szCs w:val="24"/>
          <w:lang w:val="en-GB"/>
        </w:rPr>
      </w:pPr>
      <w:r w:rsidRPr="00E911F1">
        <w:rPr>
          <w:rFonts w:cstheme="minorHAnsi"/>
          <w:color w:val="374151"/>
          <w:sz w:val="24"/>
          <w:szCs w:val="24"/>
          <w:lang w:val="en-GB"/>
        </w:rPr>
        <w:t>The Community of Practice ONE is the result of cooperation among three countries</w:t>
      </w:r>
      <w:r w:rsidR="004A71DA">
        <w:rPr>
          <w:rFonts w:cstheme="minorHAnsi"/>
          <w:color w:val="374151"/>
          <w:sz w:val="24"/>
          <w:szCs w:val="24"/>
          <w:lang w:val="en-GB"/>
        </w:rPr>
        <w:t xml:space="preserve"> -</w:t>
      </w:r>
      <w:r w:rsidRPr="00E911F1">
        <w:rPr>
          <w:rFonts w:cstheme="minorHAnsi"/>
          <w:color w:val="374151"/>
          <w:sz w:val="24"/>
          <w:szCs w:val="24"/>
          <w:lang w:val="en-GB"/>
        </w:rPr>
        <w:t xml:space="preserve"> Italy, Portugal, and Slovakia</w:t>
      </w:r>
      <w:r w:rsidR="004A71DA">
        <w:rPr>
          <w:rFonts w:cstheme="minorHAnsi"/>
          <w:color w:val="374151"/>
          <w:sz w:val="24"/>
          <w:szCs w:val="24"/>
          <w:lang w:val="en-GB"/>
        </w:rPr>
        <w:t xml:space="preserve"> -</w:t>
      </w:r>
      <w:r w:rsidRPr="00E911F1">
        <w:rPr>
          <w:rFonts w:cstheme="minorHAnsi"/>
          <w:color w:val="374151"/>
          <w:sz w:val="24"/>
          <w:szCs w:val="24"/>
          <w:lang w:val="en-GB"/>
        </w:rPr>
        <w:t xml:space="preserve"> within the framework of the </w:t>
      </w:r>
      <w:r w:rsidRPr="003D68F0">
        <w:rPr>
          <w:rFonts w:cstheme="minorHAnsi"/>
          <w:i/>
          <w:color w:val="374151"/>
          <w:sz w:val="24"/>
          <w:szCs w:val="24"/>
          <w:lang w:val="en-GB"/>
        </w:rPr>
        <w:t>ONE</w:t>
      </w:r>
      <w:r w:rsidR="008E4A1E" w:rsidRPr="003D68F0">
        <w:rPr>
          <w:rFonts w:cstheme="minorHAnsi"/>
          <w:i/>
          <w:color w:val="374151"/>
          <w:sz w:val="24"/>
          <w:szCs w:val="24"/>
          <w:lang w:val="en-GB"/>
        </w:rPr>
        <w:t>-</w:t>
      </w:r>
      <w:r w:rsidR="00F0350F" w:rsidRPr="003D68F0">
        <w:rPr>
          <w:i/>
        </w:rPr>
        <w:t xml:space="preserve"> </w:t>
      </w:r>
      <w:r w:rsidR="00F0350F" w:rsidRPr="003D68F0">
        <w:rPr>
          <w:rFonts w:cstheme="minorHAnsi"/>
          <w:i/>
          <w:color w:val="374151"/>
          <w:sz w:val="24"/>
          <w:szCs w:val="24"/>
          <w:lang w:val="en-GB"/>
        </w:rPr>
        <w:t>Opening Adult Education Networks to European Cooperation</w:t>
      </w:r>
      <w:r w:rsidRPr="00E911F1">
        <w:rPr>
          <w:rFonts w:cstheme="minorHAnsi"/>
          <w:color w:val="374151"/>
          <w:sz w:val="24"/>
          <w:szCs w:val="24"/>
          <w:lang w:val="en-GB"/>
        </w:rPr>
        <w:t xml:space="preserve"> project</w:t>
      </w:r>
      <w:r w:rsidR="003D68F0">
        <w:rPr>
          <w:rFonts w:cstheme="minorHAnsi"/>
          <w:color w:val="374151"/>
          <w:sz w:val="24"/>
          <w:szCs w:val="24"/>
          <w:lang w:val="en-GB"/>
        </w:rPr>
        <w:t xml:space="preserve"> – nr.</w:t>
      </w:r>
      <w:r w:rsidR="003D68F0" w:rsidRPr="003D68F0">
        <w:rPr>
          <w:rFonts w:cs="Calibri"/>
          <w:color w:val="222222"/>
          <w:shd w:val="clear" w:color="auto" w:fill="FFFFFF"/>
          <w:lang w:val="it-IT"/>
        </w:rPr>
        <w:t xml:space="preserve"> </w:t>
      </w:r>
      <w:r w:rsidR="003D68F0" w:rsidRPr="0018312A">
        <w:rPr>
          <w:rFonts w:cs="Calibri"/>
          <w:color w:val="222222"/>
          <w:shd w:val="clear" w:color="auto" w:fill="FFFFFF"/>
          <w:lang w:val="it-IT"/>
        </w:rPr>
        <w:t>621467-EPP-1-2020-1-IT-EPPKA3-IPI-SOC-IN</w:t>
      </w:r>
      <w:bookmarkStart w:id="0" w:name="_GoBack"/>
      <w:bookmarkEnd w:id="0"/>
      <w:r w:rsidRPr="00E911F1">
        <w:rPr>
          <w:rFonts w:cstheme="minorHAnsi"/>
          <w:color w:val="374151"/>
          <w:sz w:val="24"/>
          <w:szCs w:val="24"/>
          <w:lang w:val="en-GB"/>
        </w:rPr>
        <w:t>.</w:t>
      </w:r>
    </w:p>
    <w:p w14:paraId="118AEABF" w14:textId="331096A8" w:rsidR="004A71DA" w:rsidRDefault="00A959B5" w:rsidP="00560CD2">
      <w:pPr>
        <w:pBdr>
          <w:top w:val="nil"/>
          <w:left w:val="nil"/>
          <w:bottom w:val="nil"/>
          <w:right w:val="nil"/>
          <w:between w:val="nil"/>
        </w:pBdr>
        <w:spacing w:after="0" w:line="360" w:lineRule="auto"/>
        <w:jc w:val="both"/>
        <w:rPr>
          <w:rFonts w:cstheme="minorHAnsi"/>
          <w:color w:val="374151"/>
          <w:sz w:val="24"/>
          <w:szCs w:val="24"/>
          <w:lang w:val="en-GB"/>
        </w:rPr>
      </w:pPr>
      <w:r w:rsidRPr="00E911F1">
        <w:rPr>
          <w:rFonts w:cstheme="minorHAnsi"/>
          <w:color w:val="374151"/>
          <w:sz w:val="24"/>
          <w:szCs w:val="24"/>
          <w:lang w:val="en-GB"/>
        </w:rPr>
        <w:t>The ONE project aimed to enhance national adult learning networks in Europe, making them more effective in implementing European policies to prevent and combat social exclusion, poverty</w:t>
      </w:r>
      <w:r w:rsidR="004A71DA">
        <w:rPr>
          <w:rFonts w:cstheme="minorHAnsi"/>
          <w:color w:val="374151"/>
          <w:sz w:val="24"/>
          <w:szCs w:val="24"/>
          <w:lang w:val="en-GB"/>
        </w:rPr>
        <w:t xml:space="preserve"> </w:t>
      </w:r>
      <w:r w:rsidRPr="00E911F1">
        <w:rPr>
          <w:rFonts w:cstheme="minorHAnsi"/>
          <w:color w:val="374151"/>
          <w:sz w:val="24"/>
          <w:szCs w:val="24"/>
          <w:lang w:val="en-GB"/>
        </w:rPr>
        <w:t>and unemployment</w:t>
      </w:r>
      <w:r w:rsidR="004A71DA">
        <w:rPr>
          <w:rFonts w:cstheme="minorHAnsi"/>
          <w:color w:val="374151"/>
          <w:sz w:val="24"/>
          <w:szCs w:val="24"/>
          <w:lang w:val="en-GB"/>
        </w:rPr>
        <w:t>, as well as to promote active citizenship, personal and professional development (link website?)</w:t>
      </w:r>
      <w:r w:rsidRPr="00E911F1">
        <w:rPr>
          <w:rFonts w:cstheme="minorHAnsi"/>
          <w:color w:val="374151"/>
          <w:sz w:val="24"/>
          <w:szCs w:val="24"/>
          <w:lang w:val="en-GB"/>
        </w:rPr>
        <w:t xml:space="preserve">. </w:t>
      </w:r>
    </w:p>
    <w:p w14:paraId="7D12677B" w14:textId="4618D910" w:rsidR="00310F86" w:rsidRDefault="00310F86" w:rsidP="00310F86">
      <w:pPr>
        <w:pBdr>
          <w:top w:val="nil"/>
          <w:left w:val="nil"/>
          <w:bottom w:val="nil"/>
          <w:right w:val="nil"/>
          <w:between w:val="nil"/>
        </w:pBdr>
        <w:spacing w:after="0" w:line="360" w:lineRule="auto"/>
        <w:jc w:val="both"/>
        <w:rPr>
          <w:rFonts w:cstheme="minorHAnsi"/>
          <w:color w:val="374151"/>
          <w:sz w:val="24"/>
          <w:szCs w:val="24"/>
          <w:lang w:val="en-GB"/>
        </w:rPr>
      </w:pPr>
      <w:r w:rsidRPr="00E911F1">
        <w:rPr>
          <w:rFonts w:cstheme="minorHAnsi"/>
          <w:color w:val="374151"/>
          <w:sz w:val="24"/>
          <w:szCs w:val="24"/>
          <w:lang w:val="en-GB"/>
        </w:rPr>
        <w:t>This community of practice is established based on initiatives from the ONE national networks in the ALE sector, which is of common interest.</w:t>
      </w:r>
    </w:p>
    <w:p w14:paraId="31EE7382" w14:textId="4170ED17" w:rsidR="00A959B5" w:rsidRDefault="00A959B5" w:rsidP="00560CD2">
      <w:pPr>
        <w:pBdr>
          <w:top w:val="nil"/>
          <w:left w:val="nil"/>
          <w:bottom w:val="nil"/>
          <w:right w:val="nil"/>
          <w:between w:val="nil"/>
        </w:pBdr>
        <w:spacing w:after="0" w:line="360" w:lineRule="auto"/>
        <w:jc w:val="both"/>
        <w:rPr>
          <w:rFonts w:cstheme="minorHAnsi"/>
          <w:color w:val="374151"/>
          <w:sz w:val="24"/>
          <w:szCs w:val="24"/>
          <w:lang w:val="en-GB"/>
        </w:rPr>
      </w:pPr>
      <w:r w:rsidRPr="00E911F1">
        <w:rPr>
          <w:rFonts w:cstheme="minorHAnsi"/>
          <w:color w:val="374151"/>
          <w:sz w:val="24"/>
          <w:szCs w:val="24"/>
          <w:lang w:val="en-GB"/>
        </w:rPr>
        <w:t>Networks are an ideal structure for grassroots-level European policy implementation due to the fragmentation of adult learning providers and the need for a more holistic approach to lifelong learning, involving key stakeholders such as public and private organi</w:t>
      </w:r>
      <w:r w:rsidR="00E911F1">
        <w:rPr>
          <w:rFonts w:cstheme="minorHAnsi"/>
          <w:color w:val="374151"/>
          <w:sz w:val="24"/>
          <w:szCs w:val="24"/>
          <w:lang w:val="en-GB"/>
        </w:rPr>
        <w:t>s</w:t>
      </w:r>
      <w:r w:rsidRPr="00E911F1">
        <w:rPr>
          <w:rFonts w:cstheme="minorHAnsi"/>
          <w:color w:val="374151"/>
          <w:sz w:val="24"/>
          <w:szCs w:val="24"/>
          <w:lang w:val="en-GB"/>
        </w:rPr>
        <w:t>ations working to develop adults both as citizens and professionals, second chance schools, adult education institutions, and associations and NGOs in the non-formal education sector.</w:t>
      </w:r>
    </w:p>
    <w:p w14:paraId="244475E8" w14:textId="77777777" w:rsidR="004A71DA" w:rsidRPr="00E911F1" w:rsidRDefault="004A71DA" w:rsidP="00560CD2">
      <w:pPr>
        <w:pBdr>
          <w:top w:val="nil"/>
          <w:left w:val="nil"/>
          <w:bottom w:val="nil"/>
          <w:right w:val="nil"/>
          <w:between w:val="nil"/>
        </w:pBdr>
        <w:spacing w:after="0" w:line="360" w:lineRule="auto"/>
        <w:jc w:val="both"/>
        <w:rPr>
          <w:rFonts w:cstheme="minorHAnsi"/>
          <w:color w:val="374151"/>
          <w:sz w:val="24"/>
          <w:szCs w:val="24"/>
          <w:lang w:val="en-GB"/>
        </w:rPr>
      </w:pPr>
    </w:p>
    <w:p w14:paraId="4428CB1D" w14:textId="0C0360CB" w:rsidR="004A71DA" w:rsidRPr="003D68F0" w:rsidRDefault="004A71DA" w:rsidP="004A71DA">
      <w:pPr>
        <w:pBdr>
          <w:top w:val="nil"/>
          <w:left w:val="nil"/>
          <w:bottom w:val="nil"/>
          <w:right w:val="nil"/>
          <w:between w:val="nil"/>
        </w:pBdr>
        <w:spacing w:after="120" w:line="360" w:lineRule="auto"/>
        <w:jc w:val="both"/>
        <w:rPr>
          <w:rFonts w:cstheme="minorHAnsi"/>
          <w:b/>
          <w:color w:val="374151"/>
          <w:sz w:val="24"/>
          <w:szCs w:val="24"/>
          <w:lang w:val="en-GB"/>
        </w:rPr>
      </w:pPr>
      <w:r w:rsidRPr="003D68F0">
        <w:rPr>
          <w:rFonts w:cstheme="minorHAnsi"/>
          <w:b/>
          <w:color w:val="374151"/>
          <w:sz w:val="24"/>
          <w:szCs w:val="24"/>
          <w:lang w:val="en-GB"/>
        </w:rPr>
        <w:t>Mission</w:t>
      </w:r>
    </w:p>
    <w:p w14:paraId="6494F8E8" w14:textId="704F97CD" w:rsidR="004A71DA" w:rsidRPr="004A71DA" w:rsidRDefault="004A71DA" w:rsidP="004A71DA">
      <w:pPr>
        <w:pStyle w:val="Paragrafoelenco"/>
        <w:numPr>
          <w:ilvl w:val="0"/>
          <w:numId w:val="12"/>
        </w:numPr>
        <w:pBdr>
          <w:top w:val="nil"/>
          <w:left w:val="nil"/>
          <w:bottom w:val="nil"/>
          <w:right w:val="nil"/>
          <w:between w:val="nil"/>
        </w:pBdr>
        <w:spacing w:line="360" w:lineRule="auto"/>
        <w:jc w:val="both"/>
        <w:rPr>
          <w:rFonts w:asciiTheme="minorHAnsi" w:eastAsiaTheme="minorHAnsi" w:hAnsiTheme="minorHAnsi" w:cstheme="minorHAnsi"/>
          <w:color w:val="374151"/>
          <w:lang w:val="en-GB" w:eastAsia="en-US"/>
        </w:rPr>
      </w:pPr>
      <w:r w:rsidRPr="003D68F0">
        <w:rPr>
          <w:rFonts w:asciiTheme="minorHAnsi" w:eastAsiaTheme="minorHAnsi" w:hAnsiTheme="minorHAnsi" w:cstheme="minorHAnsi"/>
          <w:color w:val="374151"/>
          <w:lang w:val="en-GB" w:eastAsia="en-US"/>
        </w:rPr>
        <w:t>Enhancement of networking in Adult Learning and Education (ALE) at national and transnational level</w:t>
      </w:r>
    </w:p>
    <w:p w14:paraId="12A478F5" w14:textId="716C03FE" w:rsidR="004A71DA" w:rsidRPr="004A71DA" w:rsidRDefault="004A71DA" w:rsidP="00944E6E">
      <w:pPr>
        <w:pStyle w:val="Paragrafoelenco"/>
        <w:numPr>
          <w:ilvl w:val="0"/>
          <w:numId w:val="12"/>
        </w:numPr>
        <w:pBdr>
          <w:top w:val="nil"/>
          <w:left w:val="nil"/>
          <w:bottom w:val="nil"/>
          <w:right w:val="nil"/>
          <w:between w:val="nil"/>
        </w:pBdr>
        <w:spacing w:line="360" w:lineRule="auto"/>
        <w:jc w:val="both"/>
        <w:rPr>
          <w:rFonts w:asciiTheme="minorHAnsi" w:eastAsiaTheme="minorHAnsi" w:hAnsiTheme="minorHAnsi" w:cstheme="minorHAnsi"/>
          <w:color w:val="374151"/>
          <w:lang w:val="en-GB" w:eastAsia="en-US"/>
        </w:rPr>
      </w:pPr>
      <w:r w:rsidRPr="004A71DA">
        <w:rPr>
          <w:rFonts w:asciiTheme="minorHAnsi" w:eastAsiaTheme="minorHAnsi" w:hAnsiTheme="minorHAnsi" w:cstheme="minorHAnsi"/>
          <w:color w:val="374151"/>
          <w:lang w:val="en-GB" w:eastAsia="en-US"/>
        </w:rPr>
        <w:t>Further development of the Peer Review methodology as a Quality Assurance and Peer Learning methodology</w:t>
      </w:r>
    </w:p>
    <w:p w14:paraId="3295FD7F" w14:textId="387F982C" w:rsidR="004A71DA" w:rsidRPr="00E911F1" w:rsidRDefault="004A71DA">
      <w:pPr>
        <w:pStyle w:val="Paragrafoelenco"/>
        <w:numPr>
          <w:ilvl w:val="0"/>
          <w:numId w:val="12"/>
        </w:numPr>
        <w:pBdr>
          <w:top w:val="nil"/>
          <w:left w:val="nil"/>
          <w:bottom w:val="nil"/>
          <w:right w:val="nil"/>
          <w:between w:val="nil"/>
        </w:pBdr>
        <w:spacing w:line="360" w:lineRule="auto"/>
        <w:jc w:val="both"/>
        <w:rPr>
          <w:rFonts w:asciiTheme="minorHAnsi" w:eastAsiaTheme="minorHAnsi" w:hAnsiTheme="minorHAnsi" w:cstheme="minorHAnsi"/>
          <w:color w:val="374151"/>
          <w:lang w:val="en-GB" w:eastAsia="en-US"/>
        </w:rPr>
      </w:pPr>
      <w:r>
        <w:rPr>
          <w:rFonts w:asciiTheme="minorHAnsi" w:eastAsiaTheme="minorHAnsi" w:hAnsiTheme="minorHAnsi" w:cstheme="minorHAnsi"/>
          <w:color w:val="374151"/>
          <w:lang w:val="en-GB" w:eastAsia="en-US"/>
        </w:rPr>
        <w:t>Development of</w:t>
      </w:r>
      <w:r w:rsidRPr="004A71DA">
        <w:rPr>
          <w:rFonts w:asciiTheme="minorHAnsi" w:eastAsiaTheme="minorHAnsi" w:hAnsiTheme="minorHAnsi" w:cstheme="minorHAnsi"/>
          <w:color w:val="374151"/>
          <w:lang w:val="en-GB" w:eastAsia="en-US"/>
        </w:rPr>
        <w:t xml:space="preserve"> capacity building actions aimed at strengthening competences of </w:t>
      </w:r>
      <w:r>
        <w:rPr>
          <w:rFonts w:asciiTheme="minorHAnsi" w:eastAsiaTheme="minorHAnsi" w:hAnsiTheme="minorHAnsi" w:cstheme="minorHAnsi"/>
          <w:color w:val="374151"/>
          <w:lang w:val="en-GB" w:eastAsia="en-US"/>
        </w:rPr>
        <w:t>ALE organisations and practitioners</w:t>
      </w:r>
    </w:p>
    <w:p w14:paraId="4AC1131D" w14:textId="11FD9DD7" w:rsidR="004A71DA" w:rsidRPr="003D68F0" w:rsidRDefault="004A71DA">
      <w:pPr>
        <w:pStyle w:val="Paragrafoelenco"/>
        <w:numPr>
          <w:ilvl w:val="0"/>
          <w:numId w:val="12"/>
        </w:numPr>
        <w:pBdr>
          <w:top w:val="nil"/>
          <w:left w:val="nil"/>
          <w:bottom w:val="nil"/>
          <w:right w:val="nil"/>
          <w:between w:val="nil"/>
        </w:pBdr>
        <w:spacing w:line="360" w:lineRule="auto"/>
        <w:jc w:val="both"/>
        <w:rPr>
          <w:rFonts w:asciiTheme="minorHAnsi" w:eastAsiaTheme="minorHAnsi" w:hAnsiTheme="minorHAnsi" w:cstheme="minorHAnsi"/>
          <w:i/>
          <w:color w:val="374151"/>
          <w:lang w:val="en-GB" w:eastAsia="en-US"/>
        </w:rPr>
      </w:pPr>
      <w:r w:rsidRPr="00D64068">
        <w:rPr>
          <w:rFonts w:asciiTheme="minorHAnsi" w:eastAsiaTheme="minorHAnsi" w:hAnsiTheme="minorHAnsi" w:cstheme="minorHAnsi"/>
          <w:color w:val="374151"/>
          <w:lang w:val="en-GB" w:eastAsia="en-US"/>
        </w:rPr>
        <w:t>Facilitating discussions on quality assurance in ALE at the EU level to promote social inclusion</w:t>
      </w:r>
      <w:r w:rsidR="0033352A" w:rsidRPr="00D64068">
        <w:rPr>
          <w:rFonts w:asciiTheme="minorHAnsi" w:eastAsiaTheme="minorHAnsi" w:hAnsiTheme="minorHAnsi" w:cstheme="minorHAnsi"/>
          <w:color w:val="374151"/>
          <w:lang w:val="en-GB" w:eastAsia="en-US"/>
        </w:rPr>
        <w:t xml:space="preserve"> </w:t>
      </w:r>
      <w:r w:rsidR="00D64068" w:rsidRPr="003D68F0">
        <w:rPr>
          <w:rFonts w:asciiTheme="minorHAnsi" w:eastAsiaTheme="minorHAnsi" w:hAnsiTheme="minorHAnsi" w:cstheme="minorHAnsi"/>
          <w:color w:val="374151"/>
          <w:lang w:val="en-GB" w:eastAsia="en-US"/>
        </w:rPr>
        <w:t xml:space="preserve">as highlighted in several documents from the Council of the European Union as the </w:t>
      </w:r>
      <w:r w:rsidR="00D64068" w:rsidRPr="003D68F0">
        <w:rPr>
          <w:rFonts w:asciiTheme="minorHAnsi" w:eastAsiaTheme="minorHAnsi" w:hAnsiTheme="minorHAnsi" w:cstheme="minorHAnsi"/>
          <w:i/>
          <w:color w:val="374151"/>
          <w:lang w:val="en-GB" w:eastAsia="en-US"/>
        </w:rPr>
        <w:t xml:space="preserve">Recommendation on vocational education and training (VET) for sustainable </w:t>
      </w:r>
      <w:r w:rsidR="00D64068" w:rsidRPr="003D68F0">
        <w:rPr>
          <w:rFonts w:asciiTheme="minorHAnsi" w:eastAsiaTheme="minorHAnsi" w:hAnsiTheme="minorHAnsi" w:cstheme="minorHAnsi"/>
          <w:i/>
          <w:color w:val="374151"/>
          <w:lang w:val="en-GB" w:eastAsia="en-US"/>
        </w:rPr>
        <w:lastRenderedPageBreak/>
        <w:t>competitiveness, social fairness and resilience</w:t>
      </w:r>
      <w:r w:rsidR="00D64068" w:rsidRPr="003D68F0">
        <w:rPr>
          <w:rStyle w:val="Rimandonotaapidipagina"/>
          <w:rFonts w:asciiTheme="minorHAnsi" w:eastAsiaTheme="minorHAnsi" w:hAnsiTheme="minorHAnsi" w:cstheme="minorHAnsi"/>
          <w:color w:val="374151"/>
          <w:lang w:val="en-GB" w:eastAsia="en-US"/>
        </w:rPr>
        <w:footnoteReference w:id="2"/>
      </w:r>
      <w:r w:rsidR="00D64068" w:rsidRPr="003D68F0">
        <w:rPr>
          <w:rFonts w:asciiTheme="minorHAnsi" w:eastAsiaTheme="minorHAnsi" w:hAnsiTheme="minorHAnsi" w:cstheme="minorHAnsi"/>
          <w:color w:val="374151"/>
          <w:lang w:val="en-GB" w:eastAsia="en-US"/>
        </w:rPr>
        <w:t xml:space="preserve">, the </w:t>
      </w:r>
      <w:r w:rsidR="00D64068" w:rsidRPr="003D68F0">
        <w:rPr>
          <w:rFonts w:asciiTheme="minorHAnsi" w:eastAsiaTheme="minorHAnsi" w:hAnsiTheme="minorHAnsi" w:cstheme="minorHAnsi"/>
          <w:i/>
          <w:color w:val="374151"/>
          <w:lang w:val="en-GB" w:eastAsia="en-US"/>
        </w:rPr>
        <w:t>European Pillar of Social Rights</w:t>
      </w:r>
      <w:r w:rsidR="00D64068" w:rsidRPr="00D64068">
        <w:rPr>
          <w:rFonts w:asciiTheme="minorHAnsi" w:eastAsiaTheme="minorHAnsi" w:hAnsiTheme="minorHAnsi" w:cstheme="minorHAnsi"/>
          <w:color w:val="374151"/>
          <w:lang w:val="en-GB" w:eastAsia="en-US"/>
        </w:rPr>
        <w:t xml:space="preserve"> </w:t>
      </w:r>
      <w:r w:rsidR="00D64068" w:rsidRPr="003D68F0">
        <w:rPr>
          <w:rFonts w:asciiTheme="minorHAnsi" w:eastAsiaTheme="minorHAnsi" w:hAnsiTheme="minorHAnsi" w:cstheme="minorHAnsi"/>
          <w:i/>
          <w:color w:val="374151"/>
          <w:lang w:val="en-GB" w:eastAsia="en-US"/>
        </w:rPr>
        <w:t>Action Plan</w:t>
      </w:r>
      <w:r w:rsidR="00D64068">
        <w:rPr>
          <w:rStyle w:val="Rimandonotaapidipagina"/>
          <w:rFonts w:asciiTheme="minorHAnsi" w:eastAsiaTheme="minorHAnsi" w:hAnsiTheme="minorHAnsi" w:cstheme="minorHAnsi"/>
          <w:i/>
          <w:color w:val="374151"/>
          <w:lang w:val="en-GB" w:eastAsia="en-US"/>
        </w:rPr>
        <w:footnoteReference w:id="3"/>
      </w:r>
      <w:r w:rsidR="00D64068" w:rsidRPr="00D64068">
        <w:rPr>
          <w:rFonts w:asciiTheme="minorHAnsi" w:eastAsiaTheme="minorHAnsi" w:hAnsiTheme="minorHAnsi" w:cstheme="minorHAnsi"/>
          <w:color w:val="374151"/>
          <w:lang w:val="en-GB" w:eastAsia="en-US"/>
        </w:rPr>
        <w:t xml:space="preserve">, the </w:t>
      </w:r>
      <w:r w:rsidR="00D64068" w:rsidRPr="003D68F0">
        <w:rPr>
          <w:rFonts w:asciiTheme="minorHAnsi" w:eastAsiaTheme="minorHAnsi" w:hAnsiTheme="minorHAnsi" w:cstheme="minorHAnsi"/>
          <w:i/>
          <w:color w:val="374151"/>
          <w:lang w:val="en-GB" w:eastAsia="en-US"/>
        </w:rPr>
        <w:t>European Skills Agenda</w:t>
      </w:r>
      <w:r w:rsidR="00D025B2">
        <w:rPr>
          <w:rStyle w:val="Rimandonotaapidipagina"/>
          <w:rFonts w:asciiTheme="minorHAnsi" w:eastAsiaTheme="minorHAnsi" w:hAnsiTheme="minorHAnsi" w:cstheme="minorHAnsi"/>
          <w:color w:val="374151"/>
          <w:lang w:val="en-GB" w:eastAsia="en-US"/>
        </w:rPr>
        <w:footnoteReference w:id="4"/>
      </w:r>
      <w:r w:rsidR="00D64068" w:rsidRPr="00D64068">
        <w:rPr>
          <w:rFonts w:asciiTheme="minorHAnsi" w:eastAsiaTheme="minorHAnsi" w:hAnsiTheme="minorHAnsi" w:cstheme="minorHAnsi"/>
          <w:color w:val="374151"/>
          <w:lang w:val="en-GB" w:eastAsia="en-US"/>
        </w:rPr>
        <w:t xml:space="preserve">, </w:t>
      </w:r>
      <w:r w:rsidR="00D64068" w:rsidRPr="003D68F0">
        <w:rPr>
          <w:rFonts w:asciiTheme="minorHAnsi" w:eastAsiaTheme="minorHAnsi" w:hAnsiTheme="minorHAnsi" w:cstheme="minorHAnsi"/>
          <w:i/>
          <w:color w:val="374151"/>
          <w:lang w:val="en-GB" w:eastAsia="en-US"/>
        </w:rPr>
        <w:t>The Council Recommendation on Upskilling Pathways: New Opportunities for Adults</w:t>
      </w:r>
      <w:r w:rsidR="00D025B2">
        <w:rPr>
          <w:rStyle w:val="Rimandonotaapidipagina"/>
          <w:rFonts w:asciiTheme="minorHAnsi" w:eastAsiaTheme="minorHAnsi" w:hAnsiTheme="minorHAnsi" w:cstheme="minorHAnsi"/>
          <w:i/>
          <w:color w:val="374151"/>
          <w:lang w:val="en-GB" w:eastAsia="en-US"/>
        </w:rPr>
        <w:footnoteReference w:id="5"/>
      </w:r>
    </w:p>
    <w:p w14:paraId="6C071DA5" w14:textId="77777777" w:rsidR="004A71DA" w:rsidRPr="00E911F1" w:rsidRDefault="004A71DA" w:rsidP="004A71DA">
      <w:pPr>
        <w:pStyle w:val="Paragrafoelenco"/>
        <w:numPr>
          <w:ilvl w:val="0"/>
          <w:numId w:val="12"/>
        </w:numPr>
        <w:pBdr>
          <w:top w:val="nil"/>
          <w:left w:val="nil"/>
          <w:bottom w:val="nil"/>
          <w:right w:val="nil"/>
          <w:between w:val="nil"/>
        </w:pBdr>
        <w:spacing w:line="360" w:lineRule="auto"/>
        <w:jc w:val="both"/>
        <w:rPr>
          <w:rFonts w:asciiTheme="minorHAnsi" w:eastAsiaTheme="minorHAnsi" w:hAnsiTheme="minorHAnsi" w:cstheme="minorHAnsi"/>
          <w:color w:val="374151"/>
          <w:lang w:val="en-GB" w:eastAsia="en-US"/>
        </w:rPr>
      </w:pPr>
      <w:r w:rsidRPr="00E911F1">
        <w:rPr>
          <w:rFonts w:asciiTheme="minorHAnsi" w:eastAsiaTheme="minorHAnsi" w:hAnsiTheme="minorHAnsi" w:cstheme="minorHAnsi"/>
          <w:color w:val="374151"/>
          <w:lang w:val="en-GB" w:eastAsia="en-US"/>
        </w:rPr>
        <w:t>Keeping track of EU trends in quality assurance and applying them in practice.</w:t>
      </w:r>
    </w:p>
    <w:p w14:paraId="6809222C" w14:textId="007FCCD3" w:rsidR="004A71DA" w:rsidRDefault="004A71DA" w:rsidP="004A71DA">
      <w:pPr>
        <w:pStyle w:val="Paragrafoelenco"/>
        <w:pBdr>
          <w:top w:val="nil"/>
          <w:left w:val="nil"/>
          <w:bottom w:val="nil"/>
          <w:right w:val="nil"/>
          <w:between w:val="nil"/>
        </w:pBdr>
        <w:spacing w:line="360" w:lineRule="auto"/>
        <w:jc w:val="both"/>
        <w:rPr>
          <w:rFonts w:asciiTheme="minorHAnsi" w:eastAsiaTheme="minorHAnsi" w:hAnsiTheme="minorHAnsi" w:cstheme="minorHAnsi"/>
          <w:color w:val="374151"/>
          <w:lang w:val="en-GB" w:eastAsia="en-US"/>
        </w:rPr>
      </w:pPr>
    </w:p>
    <w:p w14:paraId="23D22103" w14:textId="499CEA04" w:rsidR="00A959B5" w:rsidRPr="003D68F0" w:rsidRDefault="00A959B5" w:rsidP="00560CD2">
      <w:pPr>
        <w:pBdr>
          <w:top w:val="nil"/>
          <w:left w:val="nil"/>
          <w:bottom w:val="nil"/>
          <w:right w:val="nil"/>
          <w:between w:val="nil"/>
        </w:pBdr>
        <w:spacing w:after="120" w:line="360" w:lineRule="auto"/>
        <w:jc w:val="both"/>
        <w:rPr>
          <w:rFonts w:cstheme="minorHAnsi"/>
          <w:b/>
          <w:color w:val="374151"/>
          <w:sz w:val="24"/>
          <w:szCs w:val="24"/>
          <w:lang w:val="en-GB"/>
        </w:rPr>
      </w:pPr>
      <w:r w:rsidRPr="003D68F0">
        <w:rPr>
          <w:rFonts w:cstheme="minorHAnsi"/>
          <w:b/>
          <w:color w:val="374151"/>
          <w:sz w:val="24"/>
          <w:szCs w:val="24"/>
          <w:lang w:val="en-GB"/>
        </w:rPr>
        <w:t>Benefits of Community of Practice Membership</w:t>
      </w:r>
    </w:p>
    <w:p w14:paraId="4F494150" w14:textId="6C0847F0" w:rsidR="00A959B5" w:rsidRPr="00E911F1" w:rsidRDefault="00A959B5" w:rsidP="00560CD2">
      <w:pPr>
        <w:pStyle w:val="Paragrafoelenco"/>
        <w:numPr>
          <w:ilvl w:val="0"/>
          <w:numId w:val="12"/>
        </w:numPr>
        <w:pBdr>
          <w:top w:val="nil"/>
          <w:left w:val="nil"/>
          <w:bottom w:val="nil"/>
          <w:right w:val="nil"/>
          <w:between w:val="nil"/>
        </w:pBdr>
        <w:spacing w:line="360" w:lineRule="auto"/>
        <w:jc w:val="both"/>
        <w:rPr>
          <w:rFonts w:asciiTheme="minorHAnsi" w:hAnsiTheme="minorHAnsi" w:cstheme="minorHAnsi"/>
          <w:color w:val="374151"/>
          <w:lang w:val="en-GB"/>
        </w:rPr>
      </w:pPr>
      <w:r w:rsidRPr="00E911F1">
        <w:rPr>
          <w:rFonts w:asciiTheme="minorHAnsi" w:eastAsiaTheme="minorHAnsi" w:hAnsiTheme="minorHAnsi" w:cstheme="minorHAnsi"/>
          <w:color w:val="374151"/>
          <w:lang w:val="en-GB" w:eastAsia="en-US"/>
        </w:rPr>
        <w:t>Mutual</w:t>
      </w:r>
      <w:r w:rsidRPr="00E911F1">
        <w:rPr>
          <w:rFonts w:asciiTheme="minorHAnsi" w:hAnsiTheme="minorHAnsi" w:cstheme="minorHAnsi"/>
          <w:color w:val="374151"/>
          <w:lang w:val="en-GB"/>
        </w:rPr>
        <w:t xml:space="preserve"> sharing of knowledge, expertise</w:t>
      </w:r>
      <w:r w:rsidRPr="00E911F1">
        <w:rPr>
          <w:rFonts w:asciiTheme="minorHAnsi" w:eastAsiaTheme="minorHAnsi" w:hAnsiTheme="minorHAnsi" w:cstheme="minorHAnsi"/>
          <w:color w:val="374151"/>
          <w:lang w:val="en-GB" w:eastAsia="en-US"/>
        </w:rPr>
        <w:t>,</w:t>
      </w:r>
      <w:r w:rsidRPr="00E911F1">
        <w:rPr>
          <w:rFonts w:asciiTheme="minorHAnsi" w:hAnsiTheme="minorHAnsi" w:cstheme="minorHAnsi"/>
          <w:color w:val="374151"/>
          <w:lang w:val="en-GB"/>
        </w:rPr>
        <w:t xml:space="preserve"> and good practice examples</w:t>
      </w:r>
    </w:p>
    <w:p w14:paraId="485B7001" w14:textId="4151224F" w:rsidR="00A959B5" w:rsidRPr="00E911F1" w:rsidRDefault="00A959B5" w:rsidP="00560CD2">
      <w:pPr>
        <w:pStyle w:val="Paragrafoelenco"/>
        <w:numPr>
          <w:ilvl w:val="0"/>
          <w:numId w:val="12"/>
        </w:numPr>
        <w:pBdr>
          <w:top w:val="nil"/>
          <w:left w:val="nil"/>
          <w:bottom w:val="nil"/>
          <w:right w:val="nil"/>
          <w:between w:val="nil"/>
        </w:pBdr>
        <w:spacing w:line="360" w:lineRule="auto"/>
        <w:jc w:val="both"/>
        <w:rPr>
          <w:rFonts w:asciiTheme="minorHAnsi" w:hAnsiTheme="minorHAnsi" w:cstheme="minorHAnsi"/>
          <w:color w:val="374151"/>
          <w:lang w:val="en-GB"/>
        </w:rPr>
      </w:pPr>
      <w:r w:rsidRPr="00E911F1">
        <w:rPr>
          <w:rFonts w:asciiTheme="minorHAnsi" w:eastAsiaTheme="minorHAnsi" w:hAnsiTheme="minorHAnsi" w:cstheme="minorHAnsi"/>
          <w:color w:val="374151"/>
          <w:lang w:val="en-GB"/>
        </w:rPr>
        <w:t>Organi</w:t>
      </w:r>
      <w:r w:rsidR="00E911F1">
        <w:rPr>
          <w:rFonts w:asciiTheme="minorHAnsi" w:eastAsiaTheme="minorHAnsi" w:hAnsiTheme="minorHAnsi" w:cstheme="minorHAnsi"/>
          <w:color w:val="374151"/>
          <w:lang w:val="en-GB"/>
        </w:rPr>
        <w:t>s</w:t>
      </w:r>
      <w:r w:rsidRPr="00E911F1">
        <w:rPr>
          <w:rFonts w:asciiTheme="minorHAnsi" w:eastAsiaTheme="minorHAnsi" w:hAnsiTheme="minorHAnsi" w:cstheme="minorHAnsi"/>
          <w:color w:val="374151"/>
          <w:lang w:val="en-GB"/>
        </w:rPr>
        <w:t xml:space="preserve">ation of </w:t>
      </w:r>
      <w:r w:rsidRPr="00E911F1">
        <w:rPr>
          <w:rFonts w:asciiTheme="minorHAnsi" w:hAnsiTheme="minorHAnsi" w:cstheme="minorHAnsi"/>
          <w:color w:val="374151"/>
          <w:lang w:val="en-GB"/>
        </w:rPr>
        <w:t xml:space="preserve">transnational events with </w:t>
      </w:r>
      <w:r w:rsidRPr="00E911F1">
        <w:rPr>
          <w:rFonts w:asciiTheme="minorHAnsi" w:eastAsiaTheme="minorHAnsi" w:hAnsiTheme="minorHAnsi" w:cstheme="minorHAnsi"/>
          <w:color w:val="374151"/>
          <w:lang w:val="en-GB"/>
        </w:rPr>
        <w:t>expert exchanges</w:t>
      </w:r>
    </w:p>
    <w:p w14:paraId="76E4BD50" w14:textId="23CA7C0A" w:rsidR="00A959B5" w:rsidRPr="00E911F1" w:rsidRDefault="00A959B5" w:rsidP="00560CD2">
      <w:pPr>
        <w:pStyle w:val="Paragrafoelenco"/>
        <w:numPr>
          <w:ilvl w:val="0"/>
          <w:numId w:val="12"/>
        </w:numPr>
        <w:pBdr>
          <w:top w:val="nil"/>
          <w:left w:val="nil"/>
          <w:bottom w:val="nil"/>
          <w:right w:val="nil"/>
          <w:between w:val="nil"/>
        </w:pBdr>
        <w:spacing w:line="360" w:lineRule="auto"/>
        <w:jc w:val="both"/>
        <w:rPr>
          <w:rFonts w:asciiTheme="minorHAnsi" w:hAnsiTheme="minorHAnsi" w:cstheme="minorHAnsi"/>
          <w:color w:val="374151"/>
          <w:lang w:val="en-GB"/>
        </w:rPr>
      </w:pPr>
      <w:r w:rsidRPr="00E911F1">
        <w:rPr>
          <w:rFonts w:asciiTheme="minorHAnsi" w:eastAsiaTheme="minorHAnsi" w:hAnsiTheme="minorHAnsi" w:cstheme="minorHAnsi"/>
          <w:color w:val="374151"/>
          <w:lang w:val="en-GB" w:eastAsia="en-US"/>
        </w:rPr>
        <w:t>Effective</w:t>
      </w:r>
      <w:r w:rsidRPr="00E911F1">
        <w:rPr>
          <w:rFonts w:asciiTheme="minorHAnsi" w:hAnsiTheme="minorHAnsi" w:cstheme="minorHAnsi"/>
          <w:color w:val="374151"/>
          <w:lang w:val="en-GB"/>
        </w:rPr>
        <w:t xml:space="preserve"> use of </w:t>
      </w:r>
      <w:r w:rsidR="0033352A">
        <w:rPr>
          <w:rFonts w:asciiTheme="minorHAnsi" w:hAnsiTheme="minorHAnsi" w:cstheme="minorHAnsi"/>
          <w:color w:val="374151"/>
          <w:lang w:val="en-GB"/>
        </w:rPr>
        <w:t>national/</w:t>
      </w:r>
      <w:r w:rsidRPr="00E911F1">
        <w:rPr>
          <w:rFonts w:asciiTheme="minorHAnsi" w:hAnsiTheme="minorHAnsi" w:cstheme="minorHAnsi"/>
          <w:color w:val="374151"/>
          <w:lang w:val="en-GB"/>
        </w:rPr>
        <w:t xml:space="preserve">international peers for </w:t>
      </w:r>
      <w:r w:rsidR="004A71DA">
        <w:rPr>
          <w:rFonts w:asciiTheme="minorHAnsi" w:hAnsiTheme="minorHAnsi" w:cstheme="minorHAnsi"/>
          <w:color w:val="374151"/>
          <w:lang w:val="en-GB"/>
        </w:rPr>
        <w:t>Peer Review</w:t>
      </w:r>
      <w:r w:rsidRPr="00E911F1">
        <w:rPr>
          <w:rFonts w:asciiTheme="minorHAnsi" w:hAnsiTheme="minorHAnsi" w:cstheme="minorHAnsi"/>
          <w:color w:val="374151"/>
          <w:lang w:val="en-GB"/>
        </w:rPr>
        <w:t xml:space="preserve"> activities at </w:t>
      </w:r>
      <w:r w:rsidRPr="00E911F1">
        <w:rPr>
          <w:rFonts w:asciiTheme="minorHAnsi" w:eastAsiaTheme="minorHAnsi" w:hAnsiTheme="minorHAnsi" w:cstheme="minorHAnsi"/>
          <w:color w:val="374151"/>
          <w:lang w:val="en-GB" w:eastAsia="en-US"/>
        </w:rPr>
        <w:t xml:space="preserve">the </w:t>
      </w:r>
      <w:r w:rsidRPr="00E911F1">
        <w:rPr>
          <w:rFonts w:asciiTheme="minorHAnsi" w:hAnsiTheme="minorHAnsi" w:cstheme="minorHAnsi"/>
          <w:color w:val="374151"/>
          <w:lang w:val="en-GB"/>
        </w:rPr>
        <w:t>national level</w:t>
      </w:r>
    </w:p>
    <w:p w14:paraId="403F95EE" w14:textId="5FC43083" w:rsidR="00A959B5" w:rsidRPr="00E911F1" w:rsidRDefault="00A959B5" w:rsidP="00560CD2">
      <w:pPr>
        <w:pStyle w:val="Paragrafoelenco"/>
        <w:numPr>
          <w:ilvl w:val="0"/>
          <w:numId w:val="12"/>
        </w:numPr>
        <w:pBdr>
          <w:top w:val="nil"/>
          <w:left w:val="nil"/>
          <w:bottom w:val="nil"/>
          <w:right w:val="nil"/>
          <w:between w:val="nil"/>
        </w:pBdr>
        <w:spacing w:line="360" w:lineRule="auto"/>
        <w:jc w:val="both"/>
        <w:rPr>
          <w:rFonts w:asciiTheme="minorHAnsi" w:hAnsiTheme="minorHAnsi" w:cstheme="minorHAnsi"/>
          <w:color w:val="374151"/>
          <w:lang w:val="en-GB"/>
        </w:rPr>
      </w:pPr>
      <w:r w:rsidRPr="00E911F1">
        <w:rPr>
          <w:rFonts w:asciiTheme="minorHAnsi" w:eastAsiaTheme="minorHAnsi" w:hAnsiTheme="minorHAnsi" w:cstheme="minorHAnsi"/>
          <w:color w:val="374151"/>
          <w:lang w:val="en-GB" w:eastAsia="en-US"/>
        </w:rPr>
        <w:t>Mutual</w:t>
      </w:r>
      <w:r w:rsidRPr="00E911F1">
        <w:rPr>
          <w:rFonts w:asciiTheme="minorHAnsi" w:hAnsiTheme="minorHAnsi" w:cstheme="minorHAnsi"/>
          <w:color w:val="374151"/>
          <w:lang w:val="en-GB"/>
        </w:rPr>
        <w:t xml:space="preserve"> promotion of activities</w:t>
      </w:r>
    </w:p>
    <w:p w14:paraId="6267ACA4" w14:textId="0E695051" w:rsidR="00A959B5" w:rsidRPr="00E911F1" w:rsidRDefault="00A959B5" w:rsidP="00560CD2">
      <w:pPr>
        <w:pStyle w:val="Paragrafoelenco"/>
        <w:numPr>
          <w:ilvl w:val="0"/>
          <w:numId w:val="12"/>
        </w:numPr>
        <w:pBdr>
          <w:top w:val="nil"/>
          <w:left w:val="nil"/>
          <w:bottom w:val="nil"/>
          <w:right w:val="nil"/>
          <w:between w:val="nil"/>
        </w:pBdr>
        <w:spacing w:line="360" w:lineRule="auto"/>
        <w:jc w:val="both"/>
        <w:rPr>
          <w:rFonts w:asciiTheme="minorHAnsi" w:hAnsiTheme="minorHAnsi" w:cstheme="minorHAnsi"/>
          <w:color w:val="374151"/>
          <w:lang w:val="en-GB"/>
        </w:rPr>
      </w:pPr>
      <w:r w:rsidRPr="00E911F1">
        <w:rPr>
          <w:rFonts w:asciiTheme="minorHAnsi" w:eastAsiaTheme="minorHAnsi" w:hAnsiTheme="minorHAnsi" w:cstheme="minorHAnsi"/>
          <w:color w:val="374151"/>
          <w:lang w:val="en-GB" w:eastAsia="en-US"/>
        </w:rPr>
        <w:t>More</w:t>
      </w:r>
      <w:r w:rsidRPr="00E911F1">
        <w:rPr>
          <w:rFonts w:asciiTheme="minorHAnsi" w:hAnsiTheme="minorHAnsi" w:cstheme="minorHAnsi"/>
          <w:color w:val="374151"/>
          <w:lang w:val="en-GB"/>
        </w:rPr>
        <w:t xml:space="preserve"> effective </w:t>
      </w:r>
      <w:r w:rsidRPr="00E911F1">
        <w:rPr>
          <w:rFonts w:asciiTheme="minorHAnsi" w:eastAsiaTheme="minorHAnsi" w:hAnsiTheme="minorHAnsi" w:cstheme="minorHAnsi"/>
          <w:color w:val="374151"/>
          <w:lang w:val="en-GB" w:eastAsia="en-US"/>
        </w:rPr>
        <w:t>utilization</w:t>
      </w:r>
      <w:r w:rsidRPr="00E911F1">
        <w:rPr>
          <w:rFonts w:asciiTheme="minorHAnsi" w:hAnsiTheme="minorHAnsi" w:cstheme="minorHAnsi"/>
          <w:color w:val="374151"/>
          <w:lang w:val="en-GB"/>
        </w:rPr>
        <w:t xml:space="preserve"> of EU funds for </w:t>
      </w:r>
      <w:r w:rsidR="004A71DA" w:rsidRPr="00E911F1">
        <w:rPr>
          <w:rFonts w:asciiTheme="minorHAnsi" w:eastAsiaTheme="minorHAnsi" w:hAnsiTheme="minorHAnsi" w:cstheme="minorHAnsi"/>
          <w:color w:val="374151"/>
          <w:lang w:val="en-GB" w:eastAsia="en-US"/>
        </w:rPr>
        <w:t>c</w:t>
      </w:r>
      <w:r w:rsidR="004A71DA">
        <w:rPr>
          <w:rFonts w:asciiTheme="minorHAnsi" w:eastAsiaTheme="minorHAnsi" w:hAnsiTheme="minorHAnsi" w:cstheme="minorHAnsi"/>
          <w:color w:val="374151"/>
          <w:lang w:val="en-GB" w:eastAsia="en-US"/>
        </w:rPr>
        <w:t xml:space="preserve">ooperation </w:t>
      </w:r>
      <w:r w:rsidRPr="00E911F1">
        <w:rPr>
          <w:rFonts w:asciiTheme="minorHAnsi" w:hAnsiTheme="minorHAnsi" w:cstheme="minorHAnsi"/>
          <w:color w:val="374151"/>
          <w:lang w:val="en-GB"/>
        </w:rPr>
        <w:t>project</w:t>
      </w:r>
      <w:r w:rsidR="004A71DA">
        <w:rPr>
          <w:rFonts w:asciiTheme="minorHAnsi" w:hAnsiTheme="minorHAnsi" w:cstheme="minorHAnsi"/>
          <w:color w:val="374151"/>
          <w:lang w:val="en-GB"/>
        </w:rPr>
        <w:t xml:space="preserve">s and </w:t>
      </w:r>
      <w:r w:rsidRPr="00E911F1">
        <w:rPr>
          <w:rFonts w:asciiTheme="minorHAnsi" w:hAnsiTheme="minorHAnsi" w:cstheme="minorHAnsi"/>
          <w:color w:val="374151"/>
          <w:lang w:val="en-GB"/>
        </w:rPr>
        <w:t>activities.</w:t>
      </w:r>
    </w:p>
    <w:p w14:paraId="0285C3D7" w14:textId="506137A0" w:rsidR="00380156" w:rsidRDefault="00380156" w:rsidP="00560CD2">
      <w:pPr>
        <w:pStyle w:val="Paragrafoelenco"/>
        <w:pBdr>
          <w:top w:val="nil"/>
          <w:left w:val="nil"/>
          <w:bottom w:val="nil"/>
          <w:right w:val="nil"/>
          <w:between w:val="nil"/>
        </w:pBdr>
        <w:spacing w:line="360" w:lineRule="auto"/>
        <w:jc w:val="both"/>
        <w:rPr>
          <w:rFonts w:asciiTheme="minorHAnsi" w:hAnsiTheme="minorHAnsi" w:cstheme="minorHAnsi"/>
          <w:color w:val="374151"/>
          <w:lang w:val="en-GB"/>
        </w:rPr>
      </w:pPr>
    </w:p>
    <w:p w14:paraId="1FF3B230" w14:textId="525FB97F" w:rsidR="00A959B5" w:rsidRPr="00E911F1" w:rsidRDefault="00A959B5" w:rsidP="00560CD2">
      <w:pPr>
        <w:pBdr>
          <w:top w:val="nil"/>
          <w:left w:val="nil"/>
          <w:bottom w:val="nil"/>
          <w:right w:val="nil"/>
          <w:between w:val="nil"/>
        </w:pBdr>
        <w:spacing w:after="120" w:line="360" w:lineRule="auto"/>
        <w:jc w:val="both"/>
        <w:rPr>
          <w:rFonts w:cstheme="minorHAnsi"/>
          <w:color w:val="374151"/>
          <w:sz w:val="24"/>
          <w:szCs w:val="24"/>
          <w:lang w:val="en-GB"/>
        </w:rPr>
      </w:pPr>
      <w:r w:rsidRPr="00E911F1">
        <w:rPr>
          <w:rFonts w:cstheme="minorHAnsi"/>
          <w:color w:val="374151"/>
          <w:sz w:val="24"/>
          <w:szCs w:val="24"/>
          <w:lang w:val="en-GB"/>
        </w:rPr>
        <w:t>Parties to the Memorandum:</w:t>
      </w:r>
    </w:p>
    <w:tbl>
      <w:tblPr>
        <w:tblStyle w:val="Grigliatabella"/>
        <w:tblW w:w="0" w:type="auto"/>
        <w:tblLook w:val="04A0" w:firstRow="1" w:lastRow="0" w:firstColumn="1" w:lastColumn="0" w:noHBand="0" w:noVBand="1"/>
      </w:tblPr>
      <w:tblGrid>
        <w:gridCol w:w="4530"/>
        <w:gridCol w:w="4530"/>
      </w:tblGrid>
      <w:tr w:rsidR="00E911F1" w:rsidRPr="00E911F1" w14:paraId="0A216FA4" w14:textId="77777777" w:rsidTr="00E911F1">
        <w:tc>
          <w:tcPr>
            <w:tcW w:w="4530" w:type="dxa"/>
            <w:shd w:val="clear" w:color="auto" w:fill="auto"/>
          </w:tcPr>
          <w:p w14:paraId="38F094CC" w14:textId="77777777" w:rsidR="00E911F1" w:rsidRPr="00E911F1" w:rsidRDefault="00E911F1" w:rsidP="003D68F0">
            <w:pPr>
              <w:spacing w:after="120" w:line="360" w:lineRule="auto"/>
              <w:rPr>
                <w:rFonts w:cstheme="minorHAnsi"/>
                <w:color w:val="374151"/>
                <w:sz w:val="24"/>
                <w:szCs w:val="24"/>
                <w:lang w:val="en-GB"/>
              </w:rPr>
            </w:pPr>
            <w:r w:rsidRPr="00E911F1">
              <w:rPr>
                <w:rFonts w:cstheme="minorHAnsi"/>
                <w:color w:val="374151"/>
                <w:sz w:val="24"/>
                <w:szCs w:val="24"/>
                <w:lang w:val="en-GB"/>
              </w:rPr>
              <w:t>Coordinating Organisation:</w:t>
            </w:r>
          </w:p>
          <w:p w14:paraId="6D30E47A" w14:textId="77B46847" w:rsidR="00E911F1" w:rsidRPr="00E911F1" w:rsidRDefault="00E911F1" w:rsidP="003D68F0">
            <w:pPr>
              <w:spacing w:after="120" w:line="360" w:lineRule="auto"/>
              <w:rPr>
                <w:rFonts w:cstheme="minorHAnsi"/>
                <w:color w:val="374151"/>
                <w:sz w:val="24"/>
                <w:szCs w:val="24"/>
                <w:lang w:val="en-GB"/>
              </w:rPr>
            </w:pPr>
            <w:r w:rsidRPr="00E911F1">
              <w:rPr>
                <w:rFonts w:cstheme="minorHAnsi"/>
                <w:color w:val="374151"/>
                <w:sz w:val="24"/>
                <w:szCs w:val="24"/>
                <w:lang w:val="en-GB"/>
              </w:rPr>
              <w:t>RIDAP</w:t>
            </w:r>
          </w:p>
        </w:tc>
        <w:tc>
          <w:tcPr>
            <w:tcW w:w="4530" w:type="dxa"/>
            <w:shd w:val="clear" w:color="auto" w:fill="auto"/>
          </w:tcPr>
          <w:p w14:paraId="7B58C1A7" w14:textId="77777777" w:rsidR="00E911F1" w:rsidRDefault="00E911F1" w:rsidP="003D68F0">
            <w:pPr>
              <w:spacing w:after="120" w:line="360" w:lineRule="auto"/>
              <w:rPr>
                <w:rFonts w:cstheme="minorHAnsi"/>
                <w:color w:val="374151"/>
                <w:sz w:val="24"/>
                <w:szCs w:val="24"/>
                <w:lang w:val="en-GB"/>
              </w:rPr>
            </w:pPr>
            <w:r w:rsidRPr="00E911F1">
              <w:rPr>
                <w:rFonts w:cstheme="minorHAnsi"/>
                <w:color w:val="374151"/>
                <w:sz w:val="24"/>
                <w:szCs w:val="24"/>
                <w:lang w:val="en-GB"/>
              </w:rPr>
              <w:t>Coordinator’s Name and Contact Information:</w:t>
            </w:r>
          </w:p>
          <w:p w14:paraId="07BA1E1A" w14:textId="45417600" w:rsidR="00E911F1" w:rsidRPr="00E911F1" w:rsidRDefault="00E911F1" w:rsidP="003D68F0">
            <w:pPr>
              <w:spacing w:after="120" w:line="360" w:lineRule="auto"/>
              <w:rPr>
                <w:rFonts w:cstheme="minorHAnsi"/>
                <w:color w:val="374151"/>
                <w:sz w:val="24"/>
                <w:szCs w:val="24"/>
                <w:lang w:val="en-GB"/>
              </w:rPr>
            </w:pPr>
          </w:p>
        </w:tc>
      </w:tr>
      <w:tr w:rsidR="00E911F1" w:rsidRPr="00E911F1" w14:paraId="3FB12CD8" w14:textId="77777777" w:rsidTr="00E911F1">
        <w:tc>
          <w:tcPr>
            <w:tcW w:w="4530" w:type="dxa"/>
            <w:shd w:val="clear" w:color="auto" w:fill="auto"/>
          </w:tcPr>
          <w:p w14:paraId="3FC48FCA" w14:textId="75289346" w:rsidR="00E911F1" w:rsidRPr="00E911F1" w:rsidRDefault="00E911F1" w:rsidP="003D68F0">
            <w:pPr>
              <w:spacing w:after="120" w:line="360" w:lineRule="auto"/>
              <w:rPr>
                <w:rFonts w:cstheme="minorHAnsi"/>
                <w:color w:val="374151"/>
                <w:sz w:val="24"/>
                <w:szCs w:val="24"/>
                <w:lang w:val="en-GB"/>
              </w:rPr>
            </w:pPr>
            <w:r w:rsidRPr="00E911F1">
              <w:rPr>
                <w:rFonts w:cstheme="minorHAnsi"/>
                <w:color w:val="374151"/>
                <w:sz w:val="24"/>
                <w:szCs w:val="24"/>
                <w:lang w:val="en-GB"/>
              </w:rPr>
              <w:t>Participation Organisation:</w:t>
            </w:r>
          </w:p>
        </w:tc>
        <w:tc>
          <w:tcPr>
            <w:tcW w:w="4530" w:type="dxa"/>
            <w:shd w:val="clear" w:color="auto" w:fill="auto"/>
          </w:tcPr>
          <w:p w14:paraId="78A7CF6E" w14:textId="77777777" w:rsidR="00E911F1" w:rsidRPr="00E911F1" w:rsidRDefault="00E911F1" w:rsidP="003D68F0">
            <w:pPr>
              <w:numPr>
                <w:ilvl w:val="0"/>
                <w:numId w:val="6"/>
              </w:numPr>
              <w:pBdr>
                <w:top w:val="single" w:sz="2" w:space="0" w:color="D9D9E3"/>
                <w:left w:val="single" w:sz="2" w:space="5" w:color="D9D9E3"/>
                <w:bottom w:val="single" w:sz="2" w:space="0" w:color="D9D9E3"/>
                <w:right w:val="single" w:sz="2" w:space="0" w:color="D9D9E3"/>
              </w:pBdr>
              <w:shd w:val="clear" w:color="auto" w:fill="F7F7F8"/>
              <w:spacing w:line="360" w:lineRule="auto"/>
              <w:ind w:left="0"/>
              <w:rPr>
                <w:rFonts w:cstheme="minorHAnsi"/>
                <w:color w:val="374151"/>
                <w:sz w:val="24"/>
                <w:szCs w:val="24"/>
                <w:lang w:val="en-GB"/>
              </w:rPr>
            </w:pPr>
            <w:r w:rsidRPr="00E911F1">
              <w:rPr>
                <w:rFonts w:eastAsia="Times New Roman" w:cstheme="minorHAnsi"/>
                <w:color w:val="374151"/>
                <w:sz w:val="24"/>
                <w:szCs w:val="24"/>
                <w:lang w:val="en-GB" w:eastAsia="sk-SK"/>
              </w:rPr>
              <w:t>Name and Contact Information of the Responsible Contact Person in the Participating Organisation:</w:t>
            </w:r>
          </w:p>
          <w:p w14:paraId="72CD0E79" w14:textId="170A13D7" w:rsidR="00E911F1" w:rsidRPr="00E911F1" w:rsidRDefault="00E911F1" w:rsidP="003D68F0">
            <w:pPr>
              <w:numPr>
                <w:ilvl w:val="0"/>
                <w:numId w:val="6"/>
              </w:numPr>
              <w:pBdr>
                <w:top w:val="single" w:sz="2" w:space="0" w:color="D9D9E3"/>
                <w:left w:val="single" w:sz="2" w:space="5" w:color="D9D9E3"/>
                <w:bottom w:val="single" w:sz="2" w:space="0" w:color="D9D9E3"/>
                <w:right w:val="single" w:sz="2" w:space="0" w:color="D9D9E3"/>
              </w:pBdr>
              <w:shd w:val="clear" w:color="auto" w:fill="F7F7F8"/>
              <w:spacing w:line="360" w:lineRule="auto"/>
              <w:ind w:left="0"/>
              <w:rPr>
                <w:rFonts w:cstheme="minorHAnsi"/>
                <w:color w:val="374151"/>
                <w:sz w:val="24"/>
                <w:szCs w:val="24"/>
                <w:lang w:val="en-GB"/>
              </w:rPr>
            </w:pPr>
          </w:p>
        </w:tc>
      </w:tr>
    </w:tbl>
    <w:p w14:paraId="15CBC1BA" w14:textId="76E3158F" w:rsidR="00560CD2" w:rsidRDefault="00560CD2" w:rsidP="00560CD2">
      <w:pPr>
        <w:spacing w:line="360" w:lineRule="auto"/>
        <w:rPr>
          <w:rFonts w:cstheme="minorHAnsi"/>
          <w:color w:val="374151"/>
          <w:sz w:val="24"/>
          <w:szCs w:val="24"/>
          <w:lang w:val="en-GB"/>
        </w:rPr>
      </w:pPr>
    </w:p>
    <w:p w14:paraId="3BE1ED01" w14:textId="3E09B75A" w:rsidR="00881258" w:rsidRPr="003D68F0" w:rsidRDefault="00A959B5" w:rsidP="00560CD2">
      <w:pPr>
        <w:pBdr>
          <w:top w:val="nil"/>
          <w:left w:val="nil"/>
          <w:bottom w:val="nil"/>
          <w:right w:val="nil"/>
          <w:between w:val="nil"/>
        </w:pBdr>
        <w:spacing w:after="120" w:line="360" w:lineRule="auto"/>
        <w:jc w:val="both"/>
        <w:rPr>
          <w:rFonts w:eastAsia="Times New Roman" w:cstheme="minorHAnsi"/>
          <w:b/>
          <w:color w:val="374151"/>
          <w:sz w:val="24"/>
          <w:szCs w:val="24"/>
          <w:lang w:val="en-GB" w:eastAsia="sk-SK"/>
        </w:rPr>
      </w:pPr>
      <w:r w:rsidRPr="003D68F0">
        <w:rPr>
          <w:rFonts w:cstheme="minorHAnsi"/>
          <w:b/>
          <w:color w:val="374151"/>
          <w:sz w:val="24"/>
          <w:szCs w:val="24"/>
          <w:lang w:val="en-GB"/>
        </w:rPr>
        <w:t>Validity Period</w:t>
      </w:r>
    </w:p>
    <w:p w14:paraId="25B0AD51" w14:textId="3EDD9C93" w:rsidR="00A959B5" w:rsidRPr="00E911F1" w:rsidRDefault="00A959B5" w:rsidP="00560CD2">
      <w:pPr>
        <w:pBdr>
          <w:top w:val="nil"/>
          <w:left w:val="nil"/>
          <w:bottom w:val="nil"/>
          <w:right w:val="nil"/>
          <w:between w:val="nil"/>
        </w:pBdr>
        <w:spacing w:after="0" w:line="360" w:lineRule="auto"/>
        <w:jc w:val="both"/>
        <w:rPr>
          <w:rFonts w:cstheme="minorHAnsi"/>
          <w:color w:val="374151"/>
          <w:sz w:val="24"/>
          <w:szCs w:val="24"/>
          <w:lang w:val="en-GB"/>
        </w:rPr>
      </w:pPr>
      <w:r w:rsidRPr="00E911F1">
        <w:rPr>
          <w:rFonts w:cstheme="minorHAnsi"/>
          <w:color w:val="374151"/>
          <w:sz w:val="24"/>
          <w:szCs w:val="24"/>
          <w:lang w:val="en-GB"/>
        </w:rPr>
        <w:t>The expected mandate period for the community of practice is two years, starting on January 1, 2024. The Memorandum of Understanding will be in effect from the date of signature and will renew on a two-year basis.</w:t>
      </w:r>
      <w:r w:rsidR="00380156" w:rsidRPr="00E911F1">
        <w:rPr>
          <w:rFonts w:cstheme="minorHAnsi"/>
          <w:color w:val="374151"/>
          <w:sz w:val="24"/>
          <w:szCs w:val="24"/>
          <w:lang w:val="en-GB"/>
        </w:rPr>
        <w:t xml:space="preserve"> </w:t>
      </w:r>
      <w:r w:rsidRPr="00E911F1">
        <w:rPr>
          <w:rFonts w:cstheme="minorHAnsi"/>
          <w:color w:val="374151"/>
          <w:sz w:val="24"/>
          <w:szCs w:val="24"/>
          <w:lang w:val="en-GB"/>
        </w:rPr>
        <w:t xml:space="preserve">Activities of the community of practice are planned and </w:t>
      </w:r>
      <w:r w:rsidRPr="00E911F1">
        <w:rPr>
          <w:rFonts w:cstheme="minorHAnsi"/>
          <w:color w:val="374151"/>
          <w:sz w:val="24"/>
          <w:szCs w:val="24"/>
          <w:lang w:val="en-GB"/>
        </w:rPr>
        <w:lastRenderedPageBreak/>
        <w:t xml:space="preserve">approved by the coordinating body (board) on a yearly basis. The board consists of the </w:t>
      </w:r>
      <w:r w:rsidRPr="00D025B2">
        <w:rPr>
          <w:rFonts w:cstheme="minorHAnsi"/>
          <w:color w:val="374151"/>
          <w:sz w:val="24"/>
          <w:szCs w:val="24"/>
          <w:lang w:val="en-GB"/>
        </w:rPr>
        <w:t>national coordinators for each country</w:t>
      </w:r>
      <w:r w:rsidR="00D025B2" w:rsidRPr="00D025B2">
        <w:rPr>
          <w:rFonts w:cstheme="minorHAnsi"/>
          <w:color w:val="374151"/>
          <w:sz w:val="24"/>
          <w:szCs w:val="24"/>
          <w:lang w:val="en-GB"/>
        </w:rPr>
        <w:t xml:space="preserve"> (see</w:t>
      </w:r>
      <w:r w:rsidR="00D025B2">
        <w:rPr>
          <w:rFonts w:cstheme="minorHAnsi"/>
          <w:color w:val="374151"/>
          <w:sz w:val="24"/>
          <w:szCs w:val="24"/>
          <w:lang w:val="en-GB"/>
        </w:rPr>
        <w:t xml:space="preserve"> the following paragraph)</w:t>
      </w:r>
      <w:r w:rsidRPr="00E911F1">
        <w:rPr>
          <w:rFonts w:cstheme="minorHAnsi"/>
          <w:color w:val="374151"/>
          <w:sz w:val="24"/>
          <w:szCs w:val="24"/>
          <w:lang w:val="en-GB"/>
        </w:rPr>
        <w:t>.</w:t>
      </w:r>
    </w:p>
    <w:p w14:paraId="780B0C0C" w14:textId="77777777" w:rsidR="00380156" w:rsidRPr="00E911F1" w:rsidRDefault="00380156" w:rsidP="00560CD2">
      <w:pPr>
        <w:pBdr>
          <w:top w:val="nil"/>
          <w:left w:val="nil"/>
          <w:bottom w:val="nil"/>
          <w:right w:val="nil"/>
          <w:between w:val="nil"/>
        </w:pBdr>
        <w:spacing w:after="0" w:line="360" w:lineRule="auto"/>
        <w:jc w:val="both"/>
        <w:rPr>
          <w:rFonts w:cstheme="minorHAnsi"/>
          <w:color w:val="374151"/>
          <w:sz w:val="24"/>
          <w:szCs w:val="24"/>
          <w:lang w:val="en-GB"/>
        </w:rPr>
      </w:pPr>
    </w:p>
    <w:p w14:paraId="1012522F" w14:textId="56CC9662" w:rsidR="00D80B8F" w:rsidRPr="003D68F0" w:rsidRDefault="00310F86" w:rsidP="00560CD2">
      <w:pPr>
        <w:pBdr>
          <w:top w:val="nil"/>
          <w:left w:val="nil"/>
          <w:bottom w:val="nil"/>
          <w:right w:val="nil"/>
          <w:between w:val="nil"/>
        </w:pBdr>
        <w:spacing w:after="120" w:line="360" w:lineRule="auto"/>
        <w:jc w:val="both"/>
        <w:rPr>
          <w:rFonts w:cstheme="minorHAnsi"/>
          <w:b/>
          <w:color w:val="374151"/>
          <w:sz w:val="24"/>
          <w:szCs w:val="24"/>
          <w:lang w:val="en-GB"/>
        </w:rPr>
      </w:pPr>
      <w:r w:rsidRPr="003D68F0">
        <w:rPr>
          <w:rFonts w:cstheme="minorHAnsi"/>
          <w:b/>
          <w:color w:val="374151"/>
          <w:sz w:val="24"/>
          <w:szCs w:val="24"/>
          <w:lang w:val="en-GB"/>
        </w:rPr>
        <w:t>Roles, w</w:t>
      </w:r>
      <w:r w:rsidR="00A959B5" w:rsidRPr="003D68F0">
        <w:rPr>
          <w:rFonts w:cstheme="minorHAnsi"/>
          <w:b/>
          <w:color w:val="374151"/>
          <w:sz w:val="24"/>
          <w:szCs w:val="24"/>
          <w:lang w:val="en-GB"/>
        </w:rPr>
        <w:t>orking Method and Tasks</w:t>
      </w:r>
    </w:p>
    <w:p w14:paraId="72C8C626" w14:textId="419BB63E" w:rsidR="005F140E" w:rsidRPr="00E911F1" w:rsidRDefault="005F140E" w:rsidP="005F140E">
      <w:pPr>
        <w:pBdr>
          <w:top w:val="nil"/>
          <w:left w:val="nil"/>
          <w:bottom w:val="nil"/>
          <w:right w:val="nil"/>
          <w:between w:val="nil"/>
        </w:pBdr>
        <w:spacing w:after="0" w:line="360" w:lineRule="auto"/>
        <w:jc w:val="both"/>
        <w:rPr>
          <w:rFonts w:cstheme="minorHAnsi"/>
          <w:color w:val="374151"/>
          <w:sz w:val="24"/>
          <w:szCs w:val="24"/>
          <w:lang w:val="en-GB"/>
        </w:rPr>
      </w:pPr>
      <w:r w:rsidRPr="00E911F1">
        <w:rPr>
          <w:rFonts w:cstheme="minorHAnsi"/>
          <w:color w:val="374151"/>
          <w:sz w:val="24"/>
          <w:szCs w:val="24"/>
          <w:lang w:val="en-GB"/>
        </w:rPr>
        <w:t xml:space="preserve">The ONE </w:t>
      </w:r>
      <w:r w:rsidRPr="003D68F0">
        <w:rPr>
          <w:rFonts w:cstheme="minorHAnsi"/>
          <w:i/>
          <w:color w:val="374151"/>
          <w:sz w:val="24"/>
          <w:szCs w:val="24"/>
          <w:lang w:val="en-GB"/>
        </w:rPr>
        <w:t>national network coordinators</w:t>
      </w:r>
      <w:r w:rsidRPr="00E911F1">
        <w:rPr>
          <w:rFonts w:cstheme="minorHAnsi"/>
          <w:color w:val="374151"/>
          <w:sz w:val="24"/>
          <w:szCs w:val="24"/>
          <w:lang w:val="en-GB"/>
        </w:rPr>
        <w:t xml:space="preserve"> are responsible for country-specific network development in each participating country to disseminate the ONE community of practice's outputs and activate ALE development work at the national level.</w:t>
      </w:r>
    </w:p>
    <w:p w14:paraId="05F5B7C6" w14:textId="3AFCA68D" w:rsidR="00A959B5" w:rsidRDefault="00D025B2" w:rsidP="00560CD2">
      <w:pPr>
        <w:pBdr>
          <w:top w:val="nil"/>
          <w:left w:val="nil"/>
          <w:bottom w:val="nil"/>
          <w:right w:val="nil"/>
          <w:between w:val="nil"/>
        </w:pBdr>
        <w:spacing w:after="0" w:line="360" w:lineRule="auto"/>
        <w:jc w:val="both"/>
        <w:rPr>
          <w:rFonts w:cstheme="minorHAnsi"/>
          <w:color w:val="374151"/>
          <w:sz w:val="24"/>
          <w:szCs w:val="24"/>
          <w:lang w:val="en-GB"/>
        </w:rPr>
      </w:pPr>
      <w:r>
        <w:rPr>
          <w:rFonts w:cstheme="minorHAnsi"/>
          <w:color w:val="374151"/>
          <w:sz w:val="24"/>
          <w:szCs w:val="24"/>
          <w:lang w:val="en-GB"/>
        </w:rPr>
        <w:t>Given that t</w:t>
      </w:r>
      <w:r w:rsidR="00A959B5" w:rsidRPr="00E911F1">
        <w:rPr>
          <w:rFonts w:cstheme="minorHAnsi"/>
          <w:color w:val="374151"/>
          <w:sz w:val="24"/>
          <w:szCs w:val="24"/>
          <w:lang w:val="en-GB"/>
        </w:rPr>
        <w:t>he ONE community of practice is an expert community that contributes to capacity building of ALE practitioners and policy development in the ALE sector</w:t>
      </w:r>
      <w:r>
        <w:rPr>
          <w:rFonts w:cstheme="minorHAnsi"/>
          <w:color w:val="374151"/>
          <w:sz w:val="24"/>
          <w:szCs w:val="24"/>
          <w:lang w:val="en-GB"/>
        </w:rPr>
        <w:t>, the</w:t>
      </w:r>
      <w:r w:rsidR="00A959B5" w:rsidRPr="00E911F1">
        <w:rPr>
          <w:rFonts w:cstheme="minorHAnsi"/>
          <w:color w:val="374151"/>
          <w:sz w:val="24"/>
          <w:szCs w:val="24"/>
          <w:lang w:val="en-GB"/>
        </w:rPr>
        <w:t xml:space="preserve"> community's </w:t>
      </w:r>
      <w:r w:rsidR="005F140E">
        <w:rPr>
          <w:rFonts w:cstheme="minorHAnsi"/>
          <w:color w:val="374151"/>
          <w:sz w:val="24"/>
          <w:szCs w:val="24"/>
          <w:lang w:val="en-GB"/>
        </w:rPr>
        <w:t xml:space="preserve">thematic working areas and </w:t>
      </w:r>
      <w:r w:rsidR="00A959B5" w:rsidRPr="00E911F1">
        <w:rPr>
          <w:rFonts w:cstheme="minorHAnsi"/>
          <w:color w:val="374151"/>
          <w:sz w:val="24"/>
          <w:szCs w:val="24"/>
          <w:lang w:val="en-GB"/>
        </w:rPr>
        <w:t>tasks (e.g</w:t>
      </w:r>
      <w:r w:rsidR="00F11281" w:rsidRPr="00E911F1">
        <w:rPr>
          <w:rFonts w:cstheme="minorHAnsi"/>
          <w:color w:val="374151"/>
          <w:sz w:val="24"/>
          <w:szCs w:val="24"/>
          <w:lang w:val="en-GB"/>
        </w:rPr>
        <w:t>.</w:t>
      </w:r>
      <w:r w:rsidR="00A959B5" w:rsidRPr="00E911F1">
        <w:rPr>
          <w:rFonts w:cstheme="minorHAnsi"/>
          <w:color w:val="374151"/>
          <w:sz w:val="24"/>
          <w:szCs w:val="24"/>
          <w:lang w:val="en-GB"/>
        </w:rPr>
        <w:t xml:space="preserve"> meetings, seminars, research, publications, etc.) are discussed and defined yearly by its members and decided upon by the board. The board is chaired by a community member, with rotation every two years.</w:t>
      </w:r>
    </w:p>
    <w:p w14:paraId="491C3F84" w14:textId="255E449C" w:rsidR="005F140E" w:rsidRPr="00D025B2" w:rsidRDefault="005F140E" w:rsidP="003D68F0">
      <w:pPr>
        <w:pBdr>
          <w:top w:val="nil"/>
          <w:left w:val="nil"/>
          <w:bottom w:val="nil"/>
          <w:right w:val="nil"/>
          <w:between w:val="nil"/>
        </w:pBdr>
        <w:tabs>
          <w:tab w:val="left" w:pos="2070"/>
        </w:tabs>
        <w:spacing w:after="0" w:line="360" w:lineRule="auto"/>
        <w:jc w:val="both"/>
        <w:rPr>
          <w:rFonts w:cstheme="minorHAnsi"/>
          <w:color w:val="374151"/>
          <w:sz w:val="24"/>
          <w:szCs w:val="24"/>
          <w:lang w:val="en-GB"/>
        </w:rPr>
      </w:pPr>
      <w:r w:rsidRPr="003D68F0">
        <w:rPr>
          <w:rFonts w:cstheme="minorHAnsi"/>
          <w:color w:val="374151"/>
          <w:sz w:val="24"/>
          <w:szCs w:val="24"/>
          <w:lang w:val="en-GB"/>
        </w:rPr>
        <w:t>Thematic working groups can be set</w:t>
      </w:r>
      <w:r w:rsidRPr="00D025B2">
        <w:rPr>
          <w:rFonts w:cstheme="minorHAnsi"/>
          <w:color w:val="374151"/>
          <w:sz w:val="24"/>
          <w:szCs w:val="24"/>
          <w:lang w:val="en-GB"/>
        </w:rPr>
        <w:t xml:space="preserve"> according to the thematic areas defined by the board.</w:t>
      </w:r>
    </w:p>
    <w:p w14:paraId="3E97D503" w14:textId="68FBEA97" w:rsidR="00A959B5" w:rsidRPr="00D025B2" w:rsidRDefault="00A959B5" w:rsidP="00560CD2">
      <w:pPr>
        <w:pBdr>
          <w:top w:val="nil"/>
          <w:left w:val="nil"/>
          <w:bottom w:val="nil"/>
          <w:right w:val="nil"/>
          <w:between w:val="nil"/>
        </w:pBdr>
        <w:spacing w:after="0" w:line="360" w:lineRule="auto"/>
        <w:jc w:val="both"/>
        <w:rPr>
          <w:rFonts w:cstheme="minorHAnsi"/>
          <w:color w:val="374151"/>
          <w:sz w:val="24"/>
          <w:szCs w:val="24"/>
          <w:lang w:val="en-GB"/>
        </w:rPr>
      </w:pPr>
      <w:r w:rsidRPr="00D025B2">
        <w:rPr>
          <w:rFonts w:cstheme="minorHAnsi"/>
          <w:color w:val="374151"/>
          <w:sz w:val="24"/>
          <w:szCs w:val="24"/>
          <w:lang w:val="en-GB"/>
        </w:rPr>
        <w:t xml:space="preserve">The community of practice </w:t>
      </w:r>
      <w:r w:rsidR="004E49C4" w:rsidRPr="00D025B2">
        <w:rPr>
          <w:rFonts w:cstheme="minorHAnsi"/>
          <w:color w:val="374151"/>
          <w:sz w:val="24"/>
          <w:szCs w:val="24"/>
          <w:lang w:val="en-GB"/>
        </w:rPr>
        <w:t>organis</w:t>
      </w:r>
      <w:r w:rsidRPr="00D025B2">
        <w:rPr>
          <w:rFonts w:cstheme="minorHAnsi"/>
          <w:color w:val="374151"/>
          <w:sz w:val="24"/>
          <w:szCs w:val="24"/>
          <w:lang w:val="en-GB"/>
        </w:rPr>
        <w:t>es regular meetings with agendas and minutes, coordinated by the coordinating board.</w:t>
      </w:r>
    </w:p>
    <w:p w14:paraId="364D88F1" w14:textId="0A071C5E" w:rsidR="00022016" w:rsidRDefault="008E2C9D" w:rsidP="00560CD2">
      <w:pPr>
        <w:pBdr>
          <w:top w:val="nil"/>
          <w:left w:val="nil"/>
          <w:bottom w:val="nil"/>
          <w:right w:val="nil"/>
          <w:between w:val="nil"/>
        </w:pBdr>
        <w:spacing w:after="0" w:line="360" w:lineRule="auto"/>
        <w:jc w:val="both"/>
        <w:rPr>
          <w:rFonts w:cstheme="minorHAnsi"/>
          <w:color w:val="374151"/>
          <w:sz w:val="24"/>
          <w:szCs w:val="24"/>
          <w:lang w:val="en-GB"/>
        </w:rPr>
      </w:pPr>
      <w:r w:rsidRPr="00D025B2">
        <w:rPr>
          <w:rFonts w:cstheme="minorHAnsi"/>
          <w:color w:val="374151"/>
          <w:sz w:val="24"/>
          <w:szCs w:val="24"/>
          <w:lang w:val="en-GB"/>
        </w:rPr>
        <w:t xml:space="preserve">The community of practice operates a private LinkedIn group, </w:t>
      </w:r>
      <w:r w:rsidR="00DF78CF" w:rsidRPr="00D025B2">
        <w:rPr>
          <w:rFonts w:cstheme="minorHAnsi"/>
          <w:color w:val="374151"/>
          <w:sz w:val="24"/>
          <w:szCs w:val="24"/>
          <w:lang w:val="en-GB"/>
        </w:rPr>
        <w:t>where</w:t>
      </w:r>
      <w:r w:rsidRPr="00D025B2">
        <w:rPr>
          <w:rFonts w:cstheme="minorHAnsi"/>
          <w:color w:val="374151"/>
          <w:sz w:val="24"/>
          <w:szCs w:val="24"/>
          <w:lang w:val="en-GB"/>
        </w:rPr>
        <w:t xml:space="preserve"> membership is approved by the board </w:t>
      </w:r>
      <w:r w:rsidR="00DF78CF" w:rsidRPr="00D025B2">
        <w:rPr>
          <w:rFonts w:cstheme="minorHAnsi"/>
          <w:color w:val="374151"/>
          <w:sz w:val="24"/>
          <w:szCs w:val="24"/>
          <w:lang w:val="en-GB"/>
        </w:rPr>
        <w:t xml:space="preserve">based on </w:t>
      </w:r>
      <w:r w:rsidRPr="00D025B2">
        <w:rPr>
          <w:rFonts w:cstheme="minorHAnsi"/>
          <w:color w:val="374151"/>
          <w:sz w:val="24"/>
          <w:szCs w:val="24"/>
          <w:lang w:val="en-GB"/>
        </w:rPr>
        <w:t>application</w:t>
      </w:r>
      <w:r w:rsidR="00DF78CF" w:rsidRPr="00D025B2">
        <w:rPr>
          <w:rFonts w:cstheme="minorHAnsi"/>
          <w:color w:val="374151"/>
          <w:sz w:val="24"/>
          <w:szCs w:val="24"/>
          <w:lang w:val="en-GB"/>
        </w:rPr>
        <w:t>s</w:t>
      </w:r>
      <w:r w:rsidRPr="00D025B2">
        <w:rPr>
          <w:rFonts w:cstheme="minorHAnsi"/>
          <w:color w:val="374151"/>
          <w:sz w:val="24"/>
          <w:szCs w:val="24"/>
          <w:lang w:val="en-GB"/>
        </w:rPr>
        <w:t xml:space="preserve"> submitted via </w:t>
      </w:r>
      <w:r w:rsidR="005F140E" w:rsidRPr="00D025B2">
        <w:rPr>
          <w:rFonts w:cstheme="minorHAnsi"/>
          <w:color w:val="374151"/>
          <w:sz w:val="24"/>
          <w:szCs w:val="24"/>
          <w:lang w:val="en-GB"/>
        </w:rPr>
        <w:t xml:space="preserve">LinkedIn or </w:t>
      </w:r>
      <w:r w:rsidRPr="00D025B2">
        <w:rPr>
          <w:rFonts w:cstheme="minorHAnsi"/>
          <w:color w:val="374151"/>
          <w:sz w:val="24"/>
          <w:szCs w:val="24"/>
          <w:lang w:val="en-GB"/>
        </w:rPr>
        <w:t xml:space="preserve">the project website </w:t>
      </w:r>
      <w:hyperlink r:id="rId9" w:history="1">
        <w:r w:rsidRPr="00D025B2">
          <w:rPr>
            <w:rStyle w:val="Collegamentoipertestuale"/>
            <w:rFonts w:cstheme="minorHAnsi"/>
            <w:sz w:val="24"/>
            <w:szCs w:val="24"/>
            <w:lang w:val="en-GB"/>
          </w:rPr>
          <w:t>https://www.adult-learning.eu/en/project-one/</w:t>
        </w:r>
      </w:hyperlink>
      <w:r w:rsidRPr="00D025B2">
        <w:rPr>
          <w:rFonts w:cstheme="minorHAnsi"/>
          <w:color w:val="374151"/>
          <w:sz w:val="24"/>
          <w:szCs w:val="24"/>
          <w:lang w:val="en-GB"/>
        </w:rPr>
        <w:t xml:space="preserve">. </w:t>
      </w:r>
      <w:r w:rsidR="00022016" w:rsidRPr="00D025B2">
        <w:rPr>
          <w:rFonts w:cstheme="minorHAnsi"/>
          <w:color w:val="374151"/>
          <w:sz w:val="24"/>
          <w:szCs w:val="24"/>
          <w:lang w:val="en-GB"/>
        </w:rPr>
        <w:t>Synergies with EPALE Communities of Practices as well as with EAEA</w:t>
      </w:r>
      <w:r w:rsidR="00D025B2" w:rsidRPr="003D68F0">
        <w:rPr>
          <w:rFonts w:cstheme="minorHAnsi"/>
          <w:color w:val="374151"/>
          <w:sz w:val="24"/>
          <w:szCs w:val="24"/>
          <w:lang w:val="en-GB"/>
        </w:rPr>
        <w:t xml:space="preserve"> – European Association for the Adult Education</w:t>
      </w:r>
      <w:r w:rsidR="00022016" w:rsidRPr="00D025B2">
        <w:rPr>
          <w:rFonts w:cstheme="minorHAnsi"/>
          <w:color w:val="374151"/>
          <w:sz w:val="24"/>
          <w:szCs w:val="24"/>
          <w:lang w:val="en-GB"/>
        </w:rPr>
        <w:t>, being</w:t>
      </w:r>
      <w:r w:rsidR="00D025B2" w:rsidRPr="00D025B2">
        <w:t xml:space="preserve"> </w:t>
      </w:r>
      <w:r w:rsidR="00D025B2" w:rsidRPr="00D025B2">
        <w:rPr>
          <w:rFonts w:cstheme="minorHAnsi"/>
          <w:color w:val="374151"/>
          <w:sz w:val="24"/>
          <w:szCs w:val="24"/>
          <w:lang w:val="en-GB"/>
        </w:rPr>
        <w:t>it the voice of non- formal adult education in Europe with over 120 member organisations</w:t>
      </w:r>
      <w:r w:rsidR="00022016" w:rsidRPr="00D025B2">
        <w:rPr>
          <w:rFonts w:cstheme="minorHAnsi"/>
          <w:color w:val="374151"/>
          <w:sz w:val="24"/>
          <w:szCs w:val="24"/>
          <w:lang w:val="en-GB"/>
        </w:rPr>
        <w:t xml:space="preserve">, are </w:t>
      </w:r>
      <w:r w:rsidR="00D025B2" w:rsidRPr="003D68F0">
        <w:rPr>
          <w:rFonts w:cstheme="minorHAnsi"/>
          <w:color w:val="374151"/>
          <w:sz w:val="24"/>
          <w:szCs w:val="24"/>
          <w:lang w:val="en-GB"/>
        </w:rPr>
        <w:t>strongly supported and incentivised.</w:t>
      </w:r>
    </w:p>
    <w:p w14:paraId="236380F8" w14:textId="3075E7E2" w:rsidR="008E2C9D" w:rsidRDefault="008E2C9D" w:rsidP="00560CD2">
      <w:pPr>
        <w:pBdr>
          <w:top w:val="nil"/>
          <w:left w:val="nil"/>
          <w:bottom w:val="nil"/>
          <w:right w:val="nil"/>
          <w:between w:val="nil"/>
        </w:pBdr>
        <w:spacing w:after="0" w:line="360" w:lineRule="auto"/>
        <w:jc w:val="both"/>
        <w:rPr>
          <w:rFonts w:cstheme="minorHAnsi"/>
          <w:color w:val="374151"/>
          <w:sz w:val="24"/>
          <w:szCs w:val="24"/>
          <w:lang w:val="en-GB"/>
        </w:rPr>
      </w:pPr>
      <w:r>
        <w:rPr>
          <w:rFonts w:cstheme="minorHAnsi"/>
          <w:color w:val="374151"/>
          <w:sz w:val="24"/>
          <w:szCs w:val="24"/>
          <w:lang w:val="en-GB"/>
        </w:rPr>
        <w:t xml:space="preserve">Members can be organisations </w:t>
      </w:r>
      <w:r w:rsidR="00DF78CF">
        <w:rPr>
          <w:rFonts w:cstheme="minorHAnsi"/>
          <w:color w:val="374151"/>
          <w:sz w:val="24"/>
          <w:szCs w:val="24"/>
          <w:lang w:val="en-GB"/>
        </w:rPr>
        <w:t>or</w:t>
      </w:r>
      <w:r>
        <w:rPr>
          <w:rFonts w:cstheme="minorHAnsi"/>
          <w:color w:val="374151"/>
          <w:sz w:val="24"/>
          <w:szCs w:val="24"/>
          <w:lang w:val="en-GB"/>
        </w:rPr>
        <w:t xml:space="preserve"> individuals. The group </w:t>
      </w:r>
      <w:r w:rsidR="00DF78CF">
        <w:rPr>
          <w:rFonts w:cstheme="minorHAnsi"/>
          <w:color w:val="374151"/>
          <w:sz w:val="24"/>
          <w:szCs w:val="24"/>
          <w:lang w:val="en-GB"/>
        </w:rPr>
        <w:t xml:space="preserve">serves as the primary </w:t>
      </w:r>
      <w:r>
        <w:rPr>
          <w:rFonts w:cstheme="minorHAnsi"/>
          <w:color w:val="374151"/>
          <w:sz w:val="24"/>
          <w:szCs w:val="24"/>
          <w:lang w:val="en-GB"/>
        </w:rPr>
        <w:t xml:space="preserve">platform </w:t>
      </w:r>
      <w:r w:rsidR="00DF78CF">
        <w:rPr>
          <w:rFonts w:cstheme="minorHAnsi"/>
          <w:color w:val="374151"/>
          <w:sz w:val="24"/>
          <w:szCs w:val="24"/>
          <w:lang w:val="en-GB"/>
        </w:rPr>
        <w:t>for exchanging information within the</w:t>
      </w:r>
      <w:r>
        <w:rPr>
          <w:rFonts w:cstheme="minorHAnsi"/>
          <w:color w:val="374151"/>
          <w:sz w:val="24"/>
          <w:szCs w:val="24"/>
          <w:lang w:val="en-GB"/>
        </w:rPr>
        <w:t xml:space="preserve"> community of practice</w:t>
      </w:r>
      <w:r w:rsidR="00560CD2">
        <w:rPr>
          <w:rFonts w:cstheme="minorHAnsi"/>
          <w:color w:val="374151"/>
          <w:sz w:val="24"/>
          <w:szCs w:val="24"/>
          <w:lang w:val="en-GB"/>
        </w:rPr>
        <w:t>,</w:t>
      </w:r>
      <w:r>
        <w:rPr>
          <w:rFonts w:cstheme="minorHAnsi"/>
          <w:color w:val="374151"/>
          <w:sz w:val="24"/>
          <w:szCs w:val="24"/>
          <w:lang w:val="en-GB"/>
        </w:rPr>
        <w:t xml:space="preserve"> and </w:t>
      </w:r>
      <w:r w:rsidR="00DF78CF" w:rsidRPr="00DF78CF">
        <w:rPr>
          <w:rFonts w:cstheme="minorHAnsi"/>
          <w:color w:val="374151"/>
          <w:sz w:val="24"/>
          <w:szCs w:val="24"/>
          <w:lang w:val="en-GB"/>
        </w:rPr>
        <w:t>encourages linguistic diversity by accepting contributions in any language</w:t>
      </w:r>
      <w:r>
        <w:rPr>
          <w:rFonts w:cstheme="minorHAnsi"/>
          <w:color w:val="374151"/>
          <w:sz w:val="24"/>
          <w:szCs w:val="24"/>
          <w:lang w:val="en-GB"/>
        </w:rPr>
        <w:t>.</w:t>
      </w:r>
    </w:p>
    <w:p w14:paraId="6ECC8C44" w14:textId="77777777" w:rsidR="008E2C9D" w:rsidRPr="00E911F1" w:rsidRDefault="008E2C9D" w:rsidP="00560CD2">
      <w:pPr>
        <w:pBdr>
          <w:top w:val="nil"/>
          <w:left w:val="nil"/>
          <w:bottom w:val="nil"/>
          <w:right w:val="nil"/>
          <w:between w:val="nil"/>
        </w:pBdr>
        <w:spacing w:after="0" w:line="360" w:lineRule="auto"/>
        <w:jc w:val="both"/>
        <w:rPr>
          <w:rFonts w:cstheme="minorHAnsi"/>
          <w:color w:val="374151"/>
          <w:sz w:val="24"/>
          <w:szCs w:val="24"/>
          <w:lang w:val="en-GB"/>
        </w:rPr>
      </w:pPr>
    </w:p>
    <w:p w14:paraId="41A0BF80" w14:textId="098E4A57" w:rsidR="00380156" w:rsidRPr="00E911F1" w:rsidRDefault="00F11281" w:rsidP="00560CD2">
      <w:pPr>
        <w:pBdr>
          <w:top w:val="nil"/>
          <w:left w:val="nil"/>
          <w:bottom w:val="nil"/>
          <w:right w:val="nil"/>
          <w:between w:val="nil"/>
        </w:pBdr>
        <w:spacing w:after="0" w:line="360" w:lineRule="auto"/>
        <w:jc w:val="both"/>
        <w:rPr>
          <w:rFonts w:cstheme="minorHAnsi"/>
          <w:color w:val="374151"/>
          <w:sz w:val="24"/>
          <w:szCs w:val="24"/>
          <w:lang w:val="en-GB"/>
        </w:rPr>
      </w:pPr>
      <w:r w:rsidRPr="00E911F1">
        <w:rPr>
          <w:rFonts w:cstheme="minorHAnsi"/>
          <w:color w:val="374151"/>
          <w:sz w:val="24"/>
          <w:szCs w:val="24"/>
          <w:lang w:val="en-GB"/>
        </w:rPr>
        <w:t>During the period from 2024 to 2025, the community of practice shall carry out activities described in the community's annual action plan, which is based on the longer-term community action plan in Annex I.</w:t>
      </w:r>
      <w:r w:rsidR="00556D05">
        <w:rPr>
          <w:rFonts w:cstheme="minorHAnsi"/>
          <w:color w:val="374151"/>
          <w:sz w:val="24"/>
          <w:szCs w:val="24"/>
          <w:lang w:val="en-GB"/>
        </w:rPr>
        <w:t xml:space="preserve"> The community of practice commits to organise at least one transnational event per year.</w:t>
      </w:r>
    </w:p>
    <w:p w14:paraId="233EC44E" w14:textId="77777777" w:rsidR="00F11281" w:rsidRPr="00E911F1" w:rsidRDefault="00F11281" w:rsidP="00560CD2">
      <w:pPr>
        <w:pBdr>
          <w:top w:val="nil"/>
          <w:left w:val="nil"/>
          <w:bottom w:val="nil"/>
          <w:right w:val="nil"/>
          <w:between w:val="nil"/>
        </w:pBdr>
        <w:spacing w:after="0" w:line="360" w:lineRule="auto"/>
        <w:jc w:val="both"/>
        <w:rPr>
          <w:rFonts w:cstheme="minorHAnsi"/>
          <w:color w:val="374151"/>
          <w:sz w:val="24"/>
          <w:szCs w:val="24"/>
          <w:lang w:val="en-GB"/>
        </w:rPr>
      </w:pPr>
    </w:p>
    <w:p w14:paraId="7A566FE7" w14:textId="7C31F2DB" w:rsidR="00881258" w:rsidRPr="003D68F0" w:rsidRDefault="00A959B5" w:rsidP="00560CD2">
      <w:pPr>
        <w:pBdr>
          <w:top w:val="nil"/>
          <w:left w:val="nil"/>
          <w:bottom w:val="nil"/>
          <w:right w:val="nil"/>
          <w:between w:val="nil"/>
        </w:pBdr>
        <w:spacing w:after="120" w:line="360" w:lineRule="auto"/>
        <w:jc w:val="both"/>
        <w:rPr>
          <w:rFonts w:eastAsia="Times New Roman" w:cstheme="minorHAnsi"/>
          <w:b/>
          <w:color w:val="374151"/>
          <w:sz w:val="24"/>
          <w:szCs w:val="24"/>
          <w:lang w:val="en-GB" w:eastAsia="sk-SK"/>
        </w:rPr>
      </w:pPr>
      <w:r w:rsidRPr="003D68F0">
        <w:rPr>
          <w:rFonts w:cstheme="minorHAnsi"/>
          <w:b/>
          <w:color w:val="374151"/>
          <w:sz w:val="24"/>
          <w:szCs w:val="24"/>
          <w:lang w:val="en-GB"/>
        </w:rPr>
        <w:t>Responsibilities of the Parties</w:t>
      </w:r>
    </w:p>
    <w:p w14:paraId="61D3A2C3" w14:textId="34056DAE" w:rsidR="00A959B5" w:rsidRPr="00E911F1" w:rsidRDefault="00A959B5" w:rsidP="00560CD2">
      <w:pPr>
        <w:pBdr>
          <w:top w:val="nil"/>
          <w:left w:val="nil"/>
          <w:bottom w:val="nil"/>
          <w:right w:val="nil"/>
          <w:between w:val="nil"/>
        </w:pBdr>
        <w:spacing w:after="0" w:line="360" w:lineRule="auto"/>
        <w:jc w:val="both"/>
        <w:rPr>
          <w:rFonts w:cstheme="minorHAnsi"/>
          <w:color w:val="374151"/>
          <w:sz w:val="24"/>
          <w:szCs w:val="24"/>
          <w:lang w:val="en-GB"/>
        </w:rPr>
      </w:pPr>
      <w:r w:rsidRPr="00E911F1">
        <w:rPr>
          <w:rFonts w:cstheme="minorHAnsi"/>
          <w:color w:val="374151"/>
          <w:sz w:val="24"/>
          <w:szCs w:val="24"/>
          <w:lang w:val="en-GB"/>
        </w:rPr>
        <w:lastRenderedPageBreak/>
        <w:t>This agreement outlines the responsibilities of the ONE community of practice and the expected contributions of the partners.</w:t>
      </w:r>
    </w:p>
    <w:p w14:paraId="0F180868" w14:textId="0819C295" w:rsidR="00A959B5" w:rsidRPr="00E911F1" w:rsidRDefault="00A959B5" w:rsidP="00560CD2">
      <w:pPr>
        <w:pBdr>
          <w:top w:val="nil"/>
          <w:left w:val="nil"/>
          <w:bottom w:val="nil"/>
          <w:right w:val="nil"/>
          <w:between w:val="nil"/>
        </w:pBdr>
        <w:spacing w:after="0" w:line="360" w:lineRule="auto"/>
        <w:jc w:val="both"/>
        <w:rPr>
          <w:rFonts w:cstheme="minorHAnsi"/>
          <w:color w:val="374151"/>
          <w:sz w:val="24"/>
          <w:szCs w:val="24"/>
          <w:lang w:val="en-GB"/>
        </w:rPr>
      </w:pPr>
      <w:r w:rsidRPr="00E911F1">
        <w:rPr>
          <w:rFonts w:cstheme="minorHAnsi"/>
          <w:color w:val="374151"/>
          <w:sz w:val="24"/>
          <w:szCs w:val="24"/>
          <w:lang w:val="en-GB"/>
        </w:rPr>
        <w:t xml:space="preserve">Coordinators are responsible for recruiting members to the thematic </w:t>
      </w:r>
      <w:r w:rsidR="005F140E">
        <w:rPr>
          <w:rFonts w:cstheme="minorHAnsi"/>
          <w:color w:val="374151"/>
          <w:sz w:val="24"/>
          <w:szCs w:val="24"/>
          <w:lang w:val="en-GB"/>
        </w:rPr>
        <w:t>working groups in place / to be set</w:t>
      </w:r>
      <w:r w:rsidRPr="00E911F1">
        <w:rPr>
          <w:rFonts w:cstheme="minorHAnsi"/>
          <w:color w:val="374151"/>
          <w:sz w:val="24"/>
          <w:szCs w:val="24"/>
          <w:lang w:val="en-GB"/>
        </w:rPr>
        <w:t xml:space="preserve">, ensuring that members' competences align with the network's goals. A balanced representation of all countries is expected within the network. Coordinators are also responsible for monitoring results and planning activities at national and transnational levels. The main criterion is that each country and thematic </w:t>
      </w:r>
      <w:r w:rsidR="005F140E">
        <w:rPr>
          <w:rFonts w:cstheme="minorHAnsi"/>
          <w:color w:val="374151"/>
          <w:sz w:val="24"/>
          <w:szCs w:val="24"/>
          <w:lang w:val="en-GB"/>
        </w:rPr>
        <w:t>group</w:t>
      </w:r>
      <w:r w:rsidR="005F140E" w:rsidRPr="00E911F1">
        <w:rPr>
          <w:rFonts w:cstheme="minorHAnsi"/>
          <w:color w:val="374151"/>
          <w:sz w:val="24"/>
          <w:szCs w:val="24"/>
          <w:lang w:val="en-GB"/>
        </w:rPr>
        <w:t xml:space="preserve"> </w:t>
      </w:r>
      <w:r w:rsidRPr="00E911F1">
        <w:rPr>
          <w:rFonts w:cstheme="minorHAnsi"/>
          <w:color w:val="374151"/>
          <w:sz w:val="24"/>
          <w:szCs w:val="24"/>
          <w:lang w:val="en-GB"/>
        </w:rPr>
        <w:t>in the community is represented by a key expert in that particular field.</w:t>
      </w:r>
    </w:p>
    <w:p w14:paraId="28073109" w14:textId="05860148" w:rsidR="00A959B5" w:rsidRPr="00E911F1" w:rsidRDefault="00A959B5" w:rsidP="00560CD2">
      <w:pPr>
        <w:pBdr>
          <w:top w:val="nil"/>
          <w:left w:val="nil"/>
          <w:bottom w:val="nil"/>
          <w:right w:val="nil"/>
          <w:between w:val="nil"/>
        </w:pBdr>
        <w:spacing w:after="0" w:line="360" w:lineRule="auto"/>
        <w:jc w:val="both"/>
        <w:rPr>
          <w:rFonts w:cstheme="minorHAnsi"/>
          <w:color w:val="374151"/>
          <w:sz w:val="24"/>
          <w:szCs w:val="24"/>
          <w:lang w:val="en-GB"/>
        </w:rPr>
      </w:pPr>
      <w:r w:rsidRPr="00E911F1">
        <w:rPr>
          <w:rFonts w:cstheme="minorHAnsi"/>
          <w:color w:val="374151"/>
          <w:sz w:val="24"/>
          <w:szCs w:val="24"/>
          <w:lang w:val="en-GB"/>
        </w:rPr>
        <w:t xml:space="preserve">Member </w:t>
      </w:r>
      <w:r w:rsidR="00360D07" w:rsidRPr="00E911F1">
        <w:rPr>
          <w:rFonts w:cstheme="minorHAnsi"/>
          <w:color w:val="374151"/>
          <w:sz w:val="24"/>
          <w:szCs w:val="24"/>
          <w:lang w:val="en-GB"/>
        </w:rPr>
        <w:t>organisations</w:t>
      </w:r>
      <w:r w:rsidRPr="00E911F1">
        <w:rPr>
          <w:rFonts w:cstheme="minorHAnsi"/>
          <w:color w:val="374151"/>
          <w:sz w:val="24"/>
          <w:szCs w:val="24"/>
          <w:lang w:val="en-GB"/>
        </w:rPr>
        <w:t xml:space="preserve"> present the name of the expert to the community and assure their competence for community activities.</w:t>
      </w:r>
    </w:p>
    <w:p w14:paraId="00EBDB89" w14:textId="77777777" w:rsidR="00380156" w:rsidRPr="00E911F1" w:rsidRDefault="00380156" w:rsidP="00560CD2">
      <w:pPr>
        <w:spacing w:after="0" w:line="360" w:lineRule="auto"/>
        <w:jc w:val="both"/>
        <w:rPr>
          <w:rFonts w:cstheme="minorHAnsi"/>
          <w:color w:val="374151"/>
          <w:sz w:val="24"/>
          <w:szCs w:val="24"/>
          <w:lang w:val="en-GB"/>
        </w:rPr>
      </w:pPr>
    </w:p>
    <w:p w14:paraId="4D7A9B26" w14:textId="38C1F5CB" w:rsidR="00881258" w:rsidRPr="00E911F1" w:rsidRDefault="00A959B5" w:rsidP="00560CD2">
      <w:pPr>
        <w:pBdr>
          <w:top w:val="nil"/>
          <w:left w:val="nil"/>
          <w:bottom w:val="nil"/>
          <w:right w:val="nil"/>
          <w:between w:val="nil"/>
        </w:pBdr>
        <w:spacing w:after="120" w:line="360" w:lineRule="auto"/>
        <w:jc w:val="both"/>
        <w:rPr>
          <w:rFonts w:cstheme="minorHAnsi"/>
          <w:color w:val="374151"/>
          <w:sz w:val="24"/>
          <w:szCs w:val="24"/>
          <w:lang w:val="en-GB"/>
        </w:rPr>
      </w:pPr>
      <w:r w:rsidRPr="00E911F1">
        <w:rPr>
          <w:rFonts w:cstheme="minorHAnsi"/>
          <w:color w:val="374151"/>
          <w:sz w:val="24"/>
          <w:szCs w:val="24"/>
          <w:lang w:val="en-GB"/>
        </w:rPr>
        <w:t>Financial Issues</w:t>
      </w:r>
    </w:p>
    <w:p w14:paraId="36F0E30A" w14:textId="591FFEC9" w:rsidR="00A959B5" w:rsidRDefault="00A959B5" w:rsidP="00560CD2">
      <w:pPr>
        <w:pBdr>
          <w:top w:val="nil"/>
          <w:left w:val="nil"/>
          <w:bottom w:val="nil"/>
          <w:right w:val="nil"/>
          <w:between w:val="nil"/>
        </w:pBdr>
        <w:spacing w:after="0" w:line="360" w:lineRule="auto"/>
        <w:jc w:val="both"/>
        <w:rPr>
          <w:rFonts w:cstheme="minorHAnsi"/>
          <w:color w:val="374151"/>
          <w:sz w:val="24"/>
          <w:szCs w:val="24"/>
          <w:lang w:val="en-GB"/>
        </w:rPr>
      </w:pPr>
      <w:r w:rsidRPr="00E911F1">
        <w:rPr>
          <w:rFonts w:cstheme="minorHAnsi"/>
          <w:color w:val="374151"/>
          <w:sz w:val="24"/>
          <w:szCs w:val="24"/>
          <w:lang w:val="en-GB"/>
        </w:rPr>
        <w:t>The costs incurred by community members will be covered from their own resources.</w:t>
      </w:r>
      <w:r w:rsidR="005D7F2E">
        <w:rPr>
          <w:rFonts w:cstheme="minorHAnsi"/>
          <w:color w:val="374151"/>
          <w:sz w:val="24"/>
          <w:szCs w:val="24"/>
          <w:lang w:val="en-GB"/>
        </w:rPr>
        <w:t xml:space="preserve"> Participation is voluntary, and </w:t>
      </w:r>
      <w:r w:rsidR="005D7F2E" w:rsidRPr="005D7F2E">
        <w:rPr>
          <w:rFonts w:cstheme="minorHAnsi"/>
          <w:color w:val="374151"/>
          <w:sz w:val="24"/>
          <w:szCs w:val="24"/>
          <w:lang w:val="en-GB"/>
        </w:rPr>
        <w:t>signing of the Memorandum does not create any</w:t>
      </w:r>
      <w:r w:rsidR="005D7F2E">
        <w:rPr>
          <w:rFonts w:cstheme="minorHAnsi"/>
          <w:color w:val="374151"/>
          <w:sz w:val="24"/>
          <w:szCs w:val="24"/>
          <w:lang w:val="en-GB"/>
        </w:rPr>
        <w:t xml:space="preserve"> financial obligations for the p</w:t>
      </w:r>
      <w:r w:rsidR="005D7F2E" w:rsidRPr="005D7F2E">
        <w:rPr>
          <w:rFonts w:cstheme="minorHAnsi"/>
          <w:color w:val="374151"/>
          <w:sz w:val="24"/>
          <w:szCs w:val="24"/>
          <w:lang w:val="en-GB"/>
        </w:rPr>
        <w:t>arties</w:t>
      </w:r>
      <w:r w:rsidR="005D7F2E">
        <w:rPr>
          <w:rFonts w:cstheme="minorHAnsi"/>
          <w:color w:val="374151"/>
          <w:sz w:val="24"/>
          <w:szCs w:val="24"/>
          <w:lang w:val="en-GB"/>
        </w:rPr>
        <w:t xml:space="preserve"> involved</w:t>
      </w:r>
      <w:r w:rsidR="005D7F2E" w:rsidRPr="005D7F2E">
        <w:rPr>
          <w:rFonts w:cstheme="minorHAnsi"/>
          <w:color w:val="374151"/>
          <w:sz w:val="24"/>
          <w:szCs w:val="24"/>
          <w:lang w:val="en-GB"/>
        </w:rPr>
        <w:t>.</w:t>
      </w:r>
    </w:p>
    <w:p w14:paraId="404690B8" w14:textId="77777777" w:rsidR="005D7F2E" w:rsidRPr="00E911F1" w:rsidRDefault="005D7F2E" w:rsidP="00560CD2">
      <w:pPr>
        <w:pBdr>
          <w:top w:val="nil"/>
          <w:left w:val="nil"/>
          <w:bottom w:val="nil"/>
          <w:right w:val="nil"/>
          <w:between w:val="nil"/>
        </w:pBdr>
        <w:spacing w:after="0" w:line="360" w:lineRule="auto"/>
        <w:jc w:val="both"/>
        <w:rPr>
          <w:rFonts w:cstheme="minorHAnsi"/>
          <w:color w:val="374151"/>
          <w:sz w:val="24"/>
          <w:szCs w:val="24"/>
          <w:lang w:val="en-GB"/>
        </w:rPr>
      </w:pPr>
    </w:p>
    <w:p w14:paraId="5242B605" w14:textId="1F6B1354" w:rsidR="00A959B5" w:rsidRPr="00E911F1" w:rsidRDefault="00A959B5" w:rsidP="00560CD2">
      <w:pPr>
        <w:pBdr>
          <w:top w:val="nil"/>
          <w:left w:val="nil"/>
          <w:bottom w:val="nil"/>
          <w:right w:val="nil"/>
          <w:between w:val="nil"/>
        </w:pBdr>
        <w:spacing w:after="0" w:line="360" w:lineRule="auto"/>
        <w:jc w:val="both"/>
        <w:rPr>
          <w:rFonts w:cstheme="minorHAnsi"/>
          <w:color w:val="374151"/>
          <w:sz w:val="24"/>
          <w:szCs w:val="24"/>
          <w:lang w:val="en-GB"/>
        </w:rPr>
      </w:pPr>
      <w:r w:rsidRPr="00E911F1">
        <w:rPr>
          <w:rFonts w:cstheme="minorHAnsi"/>
          <w:color w:val="374151"/>
          <w:sz w:val="24"/>
          <w:szCs w:val="24"/>
          <w:lang w:val="en-GB"/>
        </w:rPr>
        <w:t>The parties to this memorandum have read all the information and agree to its contents.</w:t>
      </w:r>
    </w:p>
    <w:p w14:paraId="69D14AEA" w14:textId="77777777" w:rsidR="00380156" w:rsidRPr="00E911F1" w:rsidRDefault="00380156" w:rsidP="00560CD2">
      <w:pPr>
        <w:pBdr>
          <w:top w:val="nil"/>
          <w:left w:val="nil"/>
          <w:bottom w:val="nil"/>
          <w:right w:val="nil"/>
          <w:between w:val="nil"/>
        </w:pBdr>
        <w:spacing w:after="0" w:line="360" w:lineRule="auto"/>
        <w:jc w:val="both"/>
        <w:rPr>
          <w:rFonts w:cstheme="minorHAnsi"/>
          <w:color w:val="374151"/>
          <w:sz w:val="24"/>
          <w:szCs w:val="24"/>
          <w:lang w:val="en-GB"/>
        </w:rPr>
      </w:pPr>
    </w:p>
    <w:p w14:paraId="644DD147" w14:textId="54A53823" w:rsidR="00A959B5" w:rsidRPr="00E911F1" w:rsidRDefault="00A959B5" w:rsidP="00560CD2">
      <w:pPr>
        <w:pBdr>
          <w:top w:val="nil"/>
          <w:left w:val="nil"/>
          <w:bottom w:val="nil"/>
          <w:right w:val="nil"/>
          <w:between w:val="nil"/>
        </w:pBdr>
        <w:spacing w:after="0" w:line="360" w:lineRule="auto"/>
        <w:jc w:val="both"/>
        <w:rPr>
          <w:rFonts w:cstheme="minorHAnsi"/>
          <w:color w:val="374151"/>
          <w:sz w:val="24"/>
          <w:szCs w:val="24"/>
          <w:lang w:val="en-GB"/>
        </w:rPr>
      </w:pPr>
      <w:r w:rsidRPr="00E911F1">
        <w:rPr>
          <w:rFonts w:cstheme="minorHAnsi"/>
          <w:color w:val="374151"/>
          <w:sz w:val="24"/>
          <w:szCs w:val="24"/>
          <w:lang w:val="en-GB"/>
        </w:rPr>
        <w:t>Date:</w:t>
      </w:r>
    </w:p>
    <w:p w14:paraId="6AECA878" w14:textId="4E415350" w:rsidR="00380156" w:rsidRPr="00E911F1" w:rsidRDefault="00380156" w:rsidP="00560CD2">
      <w:pPr>
        <w:pBdr>
          <w:top w:val="nil"/>
          <w:left w:val="nil"/>
          <w:bottom w:val="nil"/>
          <w:right w:val="nil"/>
          <w:between w:val="nil"/>
        </w:pBdr>
        <w:spacing w:after="0" w:line="360" w:lineRule="auto"/>
        <w:jc w:val="both"/>
        <w:rPr>
          <w:rFonts w:cstheme="minorHAnsi"/>
          <w:color w:val="374151"/>
          <w:sz w:val="24"/>
          <w:szCs w:val="24"/>
          <w:lang w:val="en-GB"/>
        </w:rPr>
      </w:pPr>
    </w:p>
    <w:p w14:paraId="3B260EFC" w14:textId="3E19BB1B" w:rsidR="00380156" w:rsidRPr="00E911F1" w:rsidRDefault="00380156" w:rsidP="00560CD2">
      <w:pPr>
        <w:pBdr>
          <w:top w:val="nil"/>
          <w:left w:val="nil"/>
          <w:bottom w:val="nil"/>
          <w:right w:val="nil"/>
          <w:between w:val="nil"/>
        </w:pBdr>
        <w:spacing w:after="0" w:line="360" w:lineRule="auto"/>
        <w:jc w:val="both"/>
        <w:rPr>
          <w:rFonts w:cstheme="minorHAnsi"/>
          <w:color w:val="374151"/>
          <w:sz w:val="24"/>
          <w:szCs w:val="24"/>
          <w:lang w:val="en-GB"/>
        </w:rPr>
      </w:pPr>
    </w:p>
    <w:p w14:paraId="7C2BC150" w14:textId="0D21E8CB" w:rsidR="00380156" w:rsidRPr="00E911F1" w:rsidRDefault="00380156" w:rsidP="00560CD2">
      <w:pPr>
        <w:pBdr>
          <w:top w:val="nil"/>
          <w:left w:val="nil"/>
          <w:bottom w:val="nil"/>
          <w:right w:val="nil"/>
          <w:between w:val="nil"/>
        </w:pBdr>
        <w:spacing w:after="0" w:line="360" w:lineRule="auto"/>
        <w:jc w:val="both"/>
        <w:rPr>
          <w:rFonts w:cstheme="minorHAnsi"/>
          <w:color w:val="374151"/>
          <w:sz w:val="24"/>
          <w:szCs w:val="24"/>
          <w:lang w:val="en-GB"/>
        </w:rPr>
      </w:pPr>
      <w:r w:rsidRPr="00E911F1">
        <w:rPr>
          <w:rFonts w:cstheme="minorHAnsi"/>
          <w:color w:val="374151"/>
          <w:sz w:val="24"/>
          <w:szCs w:val="24"/>
          <w:lang w:val="en-GB"/>
        </w:rPr>
        <w:t>_______</w:t>
      </w:r>
      <w:r w:rsidR="008E4A1E">
        <w:rPr>
          <w:rFonts w:cstheme="minorHAnsi"/>
          <w:color w:val="374151"/>
          <w:sz w:val="24"/>
          <w:szCs w:val="24"/>
          <w:lang w:val="en-GB"/>
        </w:rPr>
        <w:t>_________________________           _</w:t>
      </w:r>
      <w:r w:rsidRPr="00E911F1">
        <w:rPr>
          <w:rFonts w:cstheme="minorHAnsi"/>
          <w:color w:val="374151"/>
          <w:sz w:val="24"/>
          <w:szCs w:val="24"/>
          <w:lang w:val="en-GB"/>
        </w:rPr>
        <w:t>____________________________________</w:t>
      </w:r>
    </w:p>
    <w:p w14:paraId="2A98373B" w14:textId="25A56705" w:rsidR="003D68F0" w:rsidRDefault="00A959B5" w:rsidP="00560CD2">
      <w:pPr>
        <w:pBdr>
          <w:top w:val="nil"/>
          <w:left w:val="nil"/>
          <w:bottom w:val="nil"/>
          <w:right w:val="nil"/>
          <w:between w:val="nil"/>
        </w:pBdr>
        <w:spacing w:after="0" w:line="360" w:lineRule="auto"/>
        <w:ind w:left="4248" w:hanging="4248"/>
        <w:jc w:val="center"/>
        <w:rPr>
          <w:rFonts w:cstheme="minorHAnsi"/>
          <w:sz w:val="24"/>
          <w:szCs w:val="24"/>
          <w:lang w:val="en-GB"/>
        </w:rPr>
      </w:pPr>
      <w:r w:rsidRPr="00E911F1">
        <w:rPr>
          <w:rFonts w:cstheme="minorHAnsi"/>
          <w:color w:val="374151"/>
          <w:sz w:val="24"/>
          <w:szCs w:val="24"/>
          <w:lang w:val="en-GB"/>
        </w:rPr>
        <w:t>Signature of the Coordinator</w:t>
      </w:r>
      <w:r w:rsidR="00380156" w:rsidRPr="00E911F1">
        <w:rPr>
          <w:rFonts w:cstheme="minorHAnsi"/>
          <w:color w:val="374151"/>
          <w:sz w:val="24"/>
          <w:szCs w:val="24"/>
          <w:lang w:val="en-GB"/>
        </w:rPr>
        <w:tab/>
      </w:r>
      <w:r w:rsidRPr="00E911F1">
        <w:rPr>
          <w:rFonts w:cstheme="minorHAnsi"/>
          <w:color w:val="374151"/>
          <w:sz w:val="24"/>
          <w:szCs w:val="24"/>
          <w:lang w:val="en-GB"/>
        </w:rPr>
        <w:t>Signature of the Legal Representative</w:t>
      </w:r>
      <w:r w:rsidR="00380156" w:rsidRPr="00E911F1">
        <w:rPr>
          <w:rFonts w:cstheme="minorHAnsi"/>
          <w:color w:val="374151"/>
          <w:sz w:val="24"/>
          <w:szCs w:val="24"/>
          <w:lang w:val="en-GB"/>
        </w:rPr>
        <w:br/>
      </w:r>
      <w:r w:rsidRPr="00E911F1">
        <w:rPr>
          <w:rFonts w:cstheme="minorHAnsi"/>
          <w:color w:val="374151"/>
          <w:sz w:val="24"/>
          <w:szCs w:val="24"/>
          <w:lang w:val="en-GB"/>
        </w:rPr>
        <w:t>of the Participating Organi</w:t>
      </w:r>
      <w:r w:rsidR="00E911F1">
        <w:rPr>
          <w:rFonts w:cstheme="minorHAnsi"/>
          <w:color w:val="374151"/>
          <w:sz w:val="24"/>
          <w:szCs w:val="24"/>
          <w:lang w:val="en-GB"/>
        </w:rPr>
        <w:t>s</w:t>
      </w:r>
      <w:r w:rsidRPr="00E911F1">
        <w:rPr>
          <w:rFonts w:cstheme="minorHAnsi"/>
          <w:color w:val="374151"/>
          <w:sz w:val="24"/>
          <w:szCs w:val="24"/>
          <w:lang w:val="en-GB"/>
        </w:rPr>
        <w:t>ation</w:t>
      </w:r>
    </w:p>
    <w:p w14:paraId="07716901" w14:textId="77777777" w:rsidR="003D68F0" w:rsidRPr="003D68F0" w:rsidRDefault="003D68F0" w:rsidP="003D68F0">
      <w:pPr>
        <w:rPr>
          <w:rFonts w:cstheme="minorHAnsi"/>
          <w:sz w:val="24"/>
          <w:szCs w:val="24"/>
          <w:lang w:val="en-GB"/>
        </w:rPr>
      </w:pPr>
    </w:p>
    <w:p w14:paraId="3EC6E4FD" w14:textId="77777777" w:rsidR="003D68F0" w:rsidRPr="003D68F0" w:rsidRDefault="003D68F0" w:rsidP="003D68F0">
      <w:pPr>
        <w:rPr>
          <w:rFonts w:cstheme="minorHAnsi"/>
          <w:sz w:val="24"/>
          <w:szCs w:val="24"/>
          <w:lang w:val="en-GB"/>
        </w:rPr>
      </w:pPr>
    </w:p>
    <w:p w14:paraId="556E0481" w14:textId="6F4B889C" w:rsidR="003D68F0" w:rsidRDefault="003D68F0" w:rsidP="003D68F0">
      <w:pPr>
        <w:rPr>
          <w:rFonts w:cstheme="minorHAnsi"/>
          <w:sz w:val="24"/>
          <w:szCs w:val="24"/>
          <w:lang w:val="en-GB"/>
        </w:rPr>
      </w:pPr>
    </w:p>
    <w:p w14:paraId="042F8211" w14:textId="77777777" w:rsidR="003D68F0" w:rsidRPr="00784E9C" w:rsidRDefault="003D68F0" w:rsidP="003D68F0">
      <w:pPr>
        <w:jc w:val="both"/>
        <w:rPr>
          <w:rFonts w:ascii="Calibri" w:hAnsi="Calibri" w:cs="Calibri"/>
          <w:sz w:val="20"/>
          <w:szCs w:val="20"/>
        </w:rPr>
      </w:pPr>
      <w:r w:rsidRPr="00784E9C">
        <w:rPr>
          <w:sz w:val="20"/>
          <w:szCs w:val="20"/>
        </w:rPr>
        <w:t>The project has been funded with support of the European Commission. The European Commission support for the production of this publication does not constitute an endorsement of the contents which reflects the view sonly of the authors, and the Commission cannot be held responsible for any use which may be made of the information contained therein.</w:t>
      </w:r>
    </w:p>
    <w:p w14:paraId="3FC4CC8C" w14:textId="0A3DE965" w:rsidR="00731052" w:rsidRPr="003D68F0" w:rsidRDefault="00731052" w:rsidP="003D68F0">
      <w:pPr>
        <w:tabs>
          <w:tab w:val="left" w:pos="1065"/>
        </w:tabs>
        <w:rPr>
          <w:rFonts w:cstheme="minorHAnsi"/>
          <w:sz w:val="24"/>
          <w:szCs w:val="24"/>
          <w:lang w:val="en-GB"/>
        </w:rPr>
      </w:pPr>
    </w:p>
    <w:sectPr w:rsidR="00731052" w:rsidRPr="003D68F0" w:rsidSect="00560CD2">
      <w:headerReference w:type="default" r:id="rId10"/>
      <w:pgSz w:w="11906" w:h="16838"/>
      <w:pgMar w:top="1276" w:right="1418" w:bottom="567" w:left="1418" w:header="709" w:footer="9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F3996" w14:textId="77777777" w:rsidR="00C1184A" w:rsidRDefault="00C1184A" w:rsidP="00380156">
      <w:pPr>
        <w:spacing w:after="0" w:line="240" w:lineRule="auto"/>
      </w:pPr>
      <w:r>
        <w:separator/>
      </w:r>
    </w:p>
  </w:endnote>
  <w:endnote w:type="continuationSeparator" w:id="0">
    <w:p w14:paraId="18F62AA1" w14:textId="77777777" w:rsidR="00C1184A" w:rsidRDefault="00C1184A" w:rsidP="00380156">
      <w:pPr>
        <w:spacing w:after="0" w:line="240" w:lineRule="auto"/>
      </w:pPr>
      <w:r>
        <w:continuationSeparator/>
      </w:r>
    </w:p>
  </w:endnote>
  <w:endnote w:type="continuationNotice" w:id="1">
    <w:p w14:paraId="1E7D7041" w14:textId="77777777" w:rsidR="00C1184A" w:rsidRDefault="00C1184A" w:rsidP="00380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70852" w14:textId="77777777" w:rsidR="00C1184A" w:rsidRDefault="00C1184A" w:rsidP="00380156">
      <w:pPr>
        <w:spacing w:after="0" w:line="240" w:lineRule="auto"/>
      </w:pPr>
      <w:r>
        <w:separator/>
      </w:r>
    </w:p>
  </w:footnote>
  <w:footnote w:type="continuationSeparator" w:id="0">
    <w:p w14:paraId="43026DBA" w14:textId="77777777" w:rsidR="00C1184A" w:rsidRDefault="00C1184A" w:rsidP="00380156">
      <w:pPr>
        <w:spacing w:after="0" w:line="240" w:lineRule="auto"/>
      </w:pPr>
      <w:r>
        <w:continuationSeparator/>
      </w:r>
    </w:p>
  </w:footnote>
  <w:footnote w:type="continuationNotice" w:id="1">
    <w:p w14:paraId="3F4B317B" w14:textId="77777777" w:rsidR="00C1184A" w:rsidRDefault="00C1184A" w:rsidP="00380156">
      <w:pPr>
        <w:spacing w:after="0" w:line="240" w:lineRule="auto"/>
      </w:pPr>
    </w:p>
  </w:footnote>
  <w:footnote w:id="2">
    <w:p w14:paraId="5AF173BF" w14:textId="6724EB20" w:rsidR="00D64068" w:rsidRPr="003D68F0" w:rsidRDefault="00D64068">
      <w:pPr>
        <w:pStyle w:val="Testonotaapidipagina"/>
        <w:rPr>
          <w:lang w:val="it-IT"/>
        </w:rPr>
      </w:pPr>
      <w:r>
        <w:rPr>
          <w:rStyle w:val="Rimandonotaapidipagina"/>
        </w:rPr>
        <w:footnoteRef/>
      </w:r>
      <w:r>
        <w:rPr>
          <w:rFonts w:ascii="Calibri" w:hAnsi="Calibri" w:cs="Calibri"/>
          <w:b/>
          <w:bCs/>
          <w:color w:val="333333"/>
          <w:szCs w:val="21"/>
          <w:shd w:val="clear" w:color="auto" w:fill="FFFFFF"/>
        </w:rPr>
        <w:t xml:space="preserve"> </w:t>
      </w:r>
      <w:r w:rsidRPr="003D68F0">
        <w:t xml:space="preserve">https://eur-lex.europa.eu/legal-content/EN/TXT/?uri=CELEX%3A32020H1202%2801%29 </w:t>
      </w:r>
    </w:p>
  </w:footnote>
  <w:footnote w:id="3">
    <w:p w14:paraId="3717C55F" w14:textId="140D8C4E" w:rsidR="00D64068" w:rsidRPr="003D68F0" w:rsidRDefault="00D64068">
      <w:pPr>
        <w:pStyle w:val="Testonotaapidipagina"/>
        <w:rPr>
          <w:lang w:val="it-IT"/>
        </w:rPr>
      </w:pPr>
      <w:r>
        <w:rPr>
          <w:rStyle w:val="Rimandonotaapidipagina"/>
        </w:rPr>
        <w:footnoteRef/>
      </w:r>
      <w:r>
        <w:t xml:space="preserve"> </w:t>
      </w:r>
      <w:r w:rsidRPr="00D64068">
        <w:t>https://ec.europa.eu/social/main.jsp?catId=1607&amp;langId=en</w:t>
      </w:r>
    </w:p>
  </w:footnote>
  <w:footnote w:id="4">
    <w:p w14:paraId="224B8EDC" w14:textId="604C53DD" w:rsidR="00D025B2" w:rsidRPr="003D68F0" w:rsidRDefault="00D025B2">
      <w:pPr>
        <w:pStyle w:val="Testonotaapidipagina"/>
        <w:rPr>
          <w:lang w:val="it-IT"/>
        </w:rPr>
      </w:pPr>
      <w:r>
        <w:rPr>
          <w:rStyle w:val="Rimandonotaapidipagina"/>
        </w:rPr>
        <w:footnoteRef/>
      </w:r>
      <w:r>
        <w:t xml:space="preserve"> </w:t>
      </w:r>
      <w:r w:rsidRPr="00D025B2">
        <w:t>https://ec.europa.eu/social/main.jsp?catId=1223&amp;langId=en</w:t>
      </w:r>
    </w:p>
  </w:footnote>
  <w:footnote w:id="5">
    <w:p w14:paraId="56C83B35" w14:textId="09CC979F" w:rsidR="00D025B2" w:rsidRPr="003D68F0" w:rsidRDefault="00D025B2">
      <w:pPr>
        <w:pStyle w:val="Testonotaapidipagina"/>
        <w:rPr>
          <w:lang w:val="it-IT"/>
        </w:rPr>
      </w:pPr>
      <w:r>
        <w:rPr>
          <w:rStyle w:val="Rimandonotaapidipagina"/>
        </w:rPr>
        <w:footnoteRef/>
      </w:r>
      <w:r>
        <w:t xml:space="preserve"> </w:t>
      </w:r>
      <w:r w:rsidRPr="00D025B2">
        <w:t>https://eur-lex.europa.eu/legal-content/EN/TXT/?uri=OJ%3AJOC_2016_484_R_0001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1195" w14:textId="79F53A77" w:rsidR="00CE19A2" w:rsidRDefault="003D68F0" w:rsidP="003D68F0">
    <w:pPr>
      <w:pStyle w:val="Intestazione"/>
      <w:tabs>
        <w:tab w:val="clear" w:pos="4536"/>
        <w:tab w:val="clear" w:pos="9072"/>
        <w:tab w:val="right" w:pos="3660"/>
      </w:tabs>
    </w:pPr>
    <w:r w:rsidRPr="003D68F0">
      <w:drawing>
        <wp:anchor distT="0" distB="0" distL="114300" distR="114300" simplePos="0" relativeHeight="251660288" behindDoc="1" locked="0" layoutInCell="1" allowOverlap="1" wp14:anchorId="24C07397" wp14:editId="0B308151">
          <wp:simplePos x="0" y="0"/>
          <wp:positionH relativeFrom="column">
            <wp:posOffset>4210050</wp:posOffset>
          </wp:positionH>
          <wp:positionV relativeFrom="paragraph">
            <wp:posOffset>-229235</wp:posOffset>
          </wp:positionV>
          <wp:extent cx="1981200" cy="990600"/>
          <wp:effectExtent l="0" t="0" r="0" b="0"/>
          <wp:wrapTight wrapText="bothSides">
            <wp:wrapPolygon edited="0">
              <wp:start x="0" y="0"/>
              <wp:lineTo x="0" y="21185"/>
              <wp:lineTo x="21392" y="21185"/>
              <wp:lineTo x="21392" y="0"/>
              <wp:lineTo x="0" y="0"/>
            </wp:wrapPolygon>
          </wp:wrapTight>
          <wp:docPr id="8" name="Immagine 8" descr="Epoka University | News | Epoka University engages in Erasmus+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ka University | News | Epoka University engages in Erasmus+ Projec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68F0">
      <w:drawing>
        <wp:anchor distT="0" distB="0" distL="114300" distR="114300" simplePos="0" relativeHeight="251659264" behindDoc="1" locked="0" layoutInCell="1" allowOverlap="1" wp14:anchorId="6CABA854" wp14:editId="49C9DBAB">
          <wp:simplePos x="0" y="0"/>
          <wp:positionH relativeFrom="margin">
            <wp:posOffset>0</wp:posOffset>
          </wp:positionH>
          <wp:positionV relativeFrom="paragraph">
            <wp:posOffset>-78105</wp:posOffset>
          </wp:positionV>
          <wp:extent cx="1676400" cy="600075"/>
          <wp:effectExtent l="0" t="0" r="0" b="9525"/>
          <wp:wrapTight wrapText="bothSides">
            <wp:wrapPolygon edited="0">
              <wp:start x="0" y="0"/>
              <wp:lineTo x="0" y="21257"/>
              <wp:lineTo x="21355" y="21257"/>
              <wp:lineTo x="21355" y="0"/>
              <wp:lineTo x="0" y="0"/>
            </wp:wrapPolygon>
          </wp:wrapTight>
          <wp:docPr id="9" name="Immagine 3" descr="\\formazione.lan\root\archivio\GESTIONE\PR_ATTIVI\E+_PARTENARIATI\ONE\GESTIONE\WP6 – COMMUNICATION AND DISSEMINATION\6.2.1. Visual_identity\Linkedin_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ormazione.lan\root\archivio\GESTIONE\PR_ATTIVI\E+_PARTENARIATI\ONE\GESTIONE\WP6 – COMMUNICATION AND DISSEMINATION\6.2.1. Visual_identity\Linkedin_ONE.jpg"/>
                  <pic:cNvPicPr>
                    <a:picLocks noChangeAspect="1" noChangeArrowheads="1"/>
                  </pic:cNvPicPr>
                </pic:nvPicPr>
                <pic:blipFill rotWithShape="1">
                  <a:blip r:embed="rId2">
                    <a:extLst>
                      <a:ext uri="{28A0092B-C50C-407E-A947-70E740481C1C}">
                        <a14:useLocalDpi xmlns:a14="http://schemas.microsoft.com/office/drawing/2010/main" val="0"/>
                      </a:ext>
                    </a:extLst>
                  </a:blip>
                  <a:srcRect t="31187" b="31028"/>
                  <a:stretch/>
                </pic:blipFill>
                <pic:spPr bwMode="auto">
                  <a:xfrm>
                    <a:off x="0" y="0"/>
                    <a:ext cx="1676400" cy="600075"/>
                  </a:xfrm>
                  <a:prstGeom prst="rect">
                    <a:avLst/>
                  </a:prstGeom>
                  <a:noFill/>
                  <a:ln>
                    <a:noFill/>
                  </a:ln>
                  <a:extLst>
                    <a:ext uri="{53640926-AAD7-44D8-BBD7-CCE9431645EC}">
                      <a14:shadowObscured xmlns:a14="http://schemas.microsoft.com/office/drawing/2010/main"/>
                    </a:ext>
                  </a:extLst>
                </pic:spPr>
              </pic:pic>
            </a:graphicData>
          </a:graphic>
        </wp:anchor>
      </w:drawing>
    </w:r>
    <w:r>
      <w:tab/>
    </w:r>
  </w:p>
  <w:p w14:paraId="4FD0EF86" w14:textId="1D81D11B" w:rsidR="003D68F0" w:rsidRDefault="003D68F0" w:rsidP="003D68F0">
    <w:pPr>
      <w:pStyle w:val="Intestazione"/>
      <w:tabs>
        <w:tab w:val="clear" w:pos="4536"/>
        <w:tab w:val="clear" w:pos="9072"/>
        <w:tab w:val="right" w:pos="3660"/>
      </w:tabs>
    </w:pPr>
  </w:p>
  <w:p w14:paraId="183FC217" w14:textId="6105B88E" w:rsidR="003D68F0" w:rsidRDefault="003D68F0" w:rsidP="003D68F0">
    <w:pPr>
      <w:pStyle w:val="Intestazione"/>
      <w:tabs>
        <w:tab w:val="clear" w:pos="4536"/>
        <w:tab w:val="clear" w:pos="9072"/>
        <w:tab w:val="right" w:pos="3660"/>
      </w:tabs>
    </w:pPr>
  </w:p>
  <w:p w14:paraId="33861560" w14:textId="39EECC08" w:rsidR="003D68F0" w:rsidRDefault="003D68F0" w:rsidP="003D68F0">
    <w:pPr>
      <w:pStyle w:val="Intestazione"/>
      <w:tabs>
        <w:tab w:val="clear" w:pos="4536"/>
        <w:tab w:val="clear" w:pos="9072"/>
        <w:tab w:val="right" w:pos="3660"/>
      </w:tabs>
    </w:pPr>
  </w:p>
  <w:p w14:paraId="191625AD" w14:textId="77777777" w:rsidR="003D68F0" w:rsidRPr="00380156" w:rsidRDefault="003D68F0" w:rsidP="003D68F0">
    <w:pPr>
      <w:pStyle w:val="Intestazione"/>
      <w:tabs>
        <w:tab w:val="clear" w:pos="4536"/>
        <w:tab w:val="clear" w:pos="9072"/>
        <w:tab w:val="right" w:pos="3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8AE"/>
    <w:multiLevelType w:val="multilevel"/>
    <w:tmpl w:val="70700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40974"/>
    <w:multiLevelType w:val="multilevel"/>
    <w:tmpl w:val="D3E4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911D8"/>
    <w:multiLevelType w:val="multilevel"/>
    <w:tmpl w:val="6620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1D7BF2"/>
    <w:multiLevelType w:val="multilevel"/>
    <w:tmpl w:val="B2CE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311094"/>
    <w:multiLevelType w:val="multilevel"/>
    <w:tmpl w:val="517C7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1D4D54"/>
    <w:multiLevelType w:val="multilevel"/>
    <w:tmpl w:val="AC8A9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E74324"/>
    <w:multiLevelType w:val="multilevel"/>
    <w:tmpl w:val="DB98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5B715D"/>
    <w:multiLevelType w:val="multilevel"/>
    <w:tmpl w:val="A8C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004D15"/>
    <w:multiLevelType w:val="multilevel"/>
    <w:tmpl w:val="AF027A8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D07452B"/>
    <w:multiLevelType w:val="hybridMultilevel"/>
    <w:tmpl w:val="7FA442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E4C717F"/>
    <w:multiLevelType w:val="multilevel"/>
    <w:tmpl w:val="BA0E4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DB5A14"/>
    <w:multiLevelType w:val="multilevel"/>
    <w:tmpl w:val="FAFAE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11"/>
  </w:num>
  <w:num w:numId="5">
    <w:abstractNumId w:val="2"/>
  </w:num>
  <w:num w:numId="6">
    <w:abstractNumId w:val="3"/>
  </w:num>
  <w:num w:numId="7">
    <w:abstractNumId w:val="10"/>
  </w:num>
  <w:num w:numId="8">
    <w:abstractNumId w:val="5"/>
  </w:num>
  <w:num w:numId="9">
    <w:abstractNumId w:val="0"/>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B5"/>
    <w:rsid w:val="000203FF"/>
    <w:rsid w:val="00022016"/>
    <w:rsid w:val="00097D11"/>
    <w:rsid w:val="001734CB"/>
    <w:rsid w:val="00310F86"/>
    <w:rsid w:val="0033352A"/>
    <w:rsid w:val="00360D07"/>
    <w:rsid w:val="00380156"/>
    <w:rsid w:val="003D208D"/>
    <w:rsid w:val="003D68F0"/>
    <w:rsid w:val="003E56F2"/>
    <w:rsid w:val="004A71DA"/>
    <w:rsid w:val="004E49C4"/>
    <w:rsid w:val="005104EF"/>
    <w:rsid w:val="00556D05"/>
    <w:rsid w:val="00560CD2"/>
    <w:rsid w:val="00563310"/>
    <w:rsid w:val="005D7F2E"/>
    <w:rsid w:val="005F140E"/>
    <w:rsid w:val="006340AF"/>
    <w:rsid w:val="00671256"/>
    <w:rsid w:val="00731052"/>
    <w:rsid w:val="00881258"/>
    <w:rsid w:val="008E2C9D"/>
    <w:rsid w:val="008E4A1E"/>
    <w:rsid w:val="009159D3"/>
    <w:rsid w:val="0099190C"/>
    <w:rsid w:val="00A10361"/>
    <w:rsid w:val="00A65365"/>
    <w:rsid w:val="00A959B5"/>
    <w:rsid w:val="00B12CAE"/>
    <w:rsid w:val="00B2701A"/>
    <w:rsid w:val="00C1184A"/>
    <w:rsid w:val="00C34392"/>
    <w:rsid w:val="00C77319"/>
    <w:rsid w:val="00CE19A2"/>
    <w:rsid w:val="00D025B2"/>
    <w:rsid w:val="00D4717F"/>
    <w:rsid w:val="00D64068"/>
    <w:rsid w:val="00D80B8F"/>
    <w:rsid w:val="00DD264E"/>
    <w:rsid w:val="00DF78CF"/>
    <w:rsid w:val="00E911F1"/>
    <w:rsid w:val="00F0350F"/>
    <w:rsid w:val="00F112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55DB"/>
  <w15:chartTrackingRefBased/>
  <w15:docId w15:val="{65E48ECC-87F7-4257-BD93-2563EEC2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rsid w:val="00CE19A2"/>
    <w:pPr>
      <w:keepNext/>
      <w:keepLines/>
      <w:spacing w:before="480" w:after="120" w:line="240" w:lineRule="auto"/>
      <w:outlineLvl w:val="0"/>
    </w:pPr>
    <w:rPr>
      <w:rFonts w:ascii="Times New Roman" w:eastAsia="Times New Roman" w:hAnsi="Times New Roman" w:cs="Times New Roman"/>
      <w:b/>
      <w:sz w:val="48"/>
      <w:szCs w:val="48"/>
      <w:lang w:val="sv-SE" w:eastAsia="sv-SE"/>
    </w:rPr>
  </w:style>
  <w:style w:type="paragraph" w:styleId="Titolo2">
    <w:name w:val="heading 2"/>
    <w:basedOn w:val="Normale"/>
    <w:next w:val="Normale"/>
    <w:link w:val="Titolo2Carattere"/>
    <w:rsid w:val="00CE19A2"/>
    <w:pPr>
      <w:keepNext/>
      <w:keepLines/>
      <w:spacing w:before="360" w:after="80" w:line="240" w:lineRule="auto"/>
      <w:outlineLvl w:val="1"/>
    </w:pPr>
    <w:rPr>
      <w:rFonts w:ascii="Times New Roman" w:eastAsia="Times New Roman" w:hAnsi="Times New Roman" w:cs="Times New Roman"/>
      <w:b/>
      <w:sz w:val="36"/>
      <w:szCs w:val="36"/>
      <w:lang w:val="sv-SE" w:eastAsia="sv-SE"/>
    </w:rPr>
  </w:style>
  <w:style w:type="paragraph" w:styleId="Titolo3">
    <w:name w:val="heading 3"/>
    <w:basedOn w:val="Normale"/>
    <w:next w:val="Normale"/>
    <w:link w:val="Titolo3Carattere"/>
    <w:rsid w:val="00CE19A2"/>
    <w:pPr>
      <w:keepNext/>
      <w:keepLines/>
      <w:spacing w:before="280" w:after="80" w:line="240" w:lineRule="auto"/>
      <w:outlineLvl w:val="2"/>
    </w:pPr>
    <w:rPr>
      <w:rFonts w:ascii="Times New Roman" w:eastAsia="Times New Roman" w:hAnsi="Times New Roman" w:cs="Times New Roman"/>
      <w:b/>
      <w:sz w:val="28"/>
      <w:szCs w:val="28"/>
      <w:lang w:val="sv-SE" w:eastAsia="sv-SE"/>
    </w:rPr>
  </w:style>
  <w:style w:type="paragraph" w:styleId="Titolo4">
    <w:name w:val="heading 4"/>
    <w:basedOn w:val="Normale"/>
    <w:next w:val="Normale"/>
    <w:link w:val="Titolo4Carattere"/>
    <w:rsid w:val="00CE19A2"/>
    <w:pPr>
      <w:keepNext/>
      <w:keepLines/>
      <w:spacing w:before="240" w:after="40" w:line="240" w:lineRule="auto"/>
      <w:outlineLvl w:val="3"/>
    </w:pPr>
    <w:rPr>
      <w:rFonts w:ascii="Times New Roman" w:eastAsia="Times New Roman" w:hAnsi="Times New Roman" w:cs="Times New Roman"/>
      <w:b/>
      <w:sz w:val="24"/>
      <w:szCs w:val="24"/>
      <w:lang w:val="sv-SE" w:eastAsia="sv-SE"/>
    </w:rPr>
  </w:style>
  <w:style w:type="paragraph" w:styleId="Titolo5">
    <w:name w:val="heading 5"/>
    <w:basedOn w:val="Normale"/>
    <w:next w:val="Normale"/>
    <w:link w:val="Titolo5Carattere"/>
    <w:rsid w:val="00CE19A2"/>
    <w:pPr>
      <w:keepNext/>
      <w:keepLines/>
      <w:spacing w:before="220" w:after="40" w:line="240" w:lineRule="auto"/>
      <w:outlineLvl w:val="4"/>
    </w:pPr>
    <w:rPr>
      <w:rFonts w:ascii="Times New Roman" w:eastAsia="Times New Roman" w:hAnsi="Times New Roman" w:cs="Times New Roman"/>
      <w:b/>
      <w:lang w:val="sv-SE" w:eastAsia="sv-SE"/>
    </w:rPr>
  </w:style>
  <w:style w:type="paragraph" w:styleId="Titolo6">
    <w:name w:val="heading 6"/>
    <w:basedOn w:val="Normale"/>
    <w:next w:val="Normale"/>
    <w:link w:val="Titolo6Carattere"/>
    <w:rsid w:val="00CE19A2"/>
    <w:pPr>
      <w:keepNext/>
      <w:keepLines/>
      <w:spacing w:before="200" w:after="40" w:line="240" w:lineRule="auto"/>
      <w:outlineLvl w:val="5"/>
    </w:pPr>
    <w:rPr>
      <w:rFonts w:ascii="Times New Roman" w:eastAsia="Times New Roman" w:hAnsi="Times New Roman" w:cs="Times New Roman"/>
      <w:b/>
      <w:sz w:val="20"/>
      <w:szCs w:val="20"/>
      <w:lang w:val="sv-SE" w:eastAsia="sv-S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959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itolo1Carattere">
    <w:name w:val="Titolo 1 Carattere"/>
    <w:basedOn w:val="Carpredefinitoparagrafo"/>
    <w:link w:val="Titolo1"/>
    <w:rsid w:val="00CE19A2"/>
    <w:rPr>
      <w:rFonts w:ascii="Times New Roman" w:eastAsia="Times New Roman" w:hAnsi="Times New Roman" w:cs="Times New Roman"/>
      <w:b/>
      <w:sz w:val="48"/>
      <w:szCs w:val="48"/>
      <w:lang w:val="sv-SE" w:eastAsia="sv-SE"/>
    </w:rPr>
  </w:style>
  <w:style w:type="character" w:customStyle="1" w:styleId="Titolo2Carattere">
    <w:name w:val="Titolo 2 Carattere"/>
    <w:basedOn w:val="Carpredefinitoparagrafo"/>
    <w:link w:val="Titolo2"/>
    <w:rsid w:val="00CE19A2"/>
    <w:rPr>
      <w:rFonts w:ascii="Times New Roman" w:eastAsia="Times New Roman" w:hAnsi="Times New Roman" w:cs="Times New Roman"/>
      <w:b/>
      <w:sz w:val="36"/>
      <w:szCs w:val="36"/>
      <w:lang w:val="sv-SE" w:eastAsia="sv-SE"/>
    </w:rPr>
  </w:style>
  <w:style w:type="character" w:customStyle="1" w:styleId="Titolo3Carattere">
    <w:name w:val="Titolo 3 Carattere"/>
    <w:basedOn w:val="Carpredefinitoparagrafo"/>
    <w:link w:val="Titolo3"/>
    <w:rsid w:val="00CE19A2"/>
    <w:rPr>
      <w:rFonts w:ascii="Times New Roman" w:eastAsia="Times New Roman" w:hAnsi="Times New Roman" w:cs="Times New Roman"/>
      <w:b/>
      <w:sz w:val="28"/>
      <w:szCs w:val="28"/>
      <w:lang w:val="sv-SE" w:eastAsia="sv-SE"/>
    </w:rPr>
  </w:style>
  <w:style w:type="character" w:customStyle="1" w:styleId="Titolo4Carattere">
    <w:name w:val="Titolo 4 Carattere"/>
    <w:basedOn w:val="Carpredefinitoparagrafo"/>
    <w:link w:val="Titolo4"/>
    <w:rsid w:val="00CE19A2"/>
    <w:rPr>
      <w:rFonts w:ascii="Times New Roman" w:eastAsia="Times New Roman" w:hAnsi="Times New Roman" w:cs="Times New Roman"/>
      <w:b/>
      <w:sz w:val="24"/>
      <w:szCs w:val="24"/>
      <w:lang w:val="sv-SE" w:eastAsia="sv-SE"/>
    </w:rPr>
  </w:style>
  <w:style w:type="character" w:customStyle="1" w:styleId="Titolo5Carattere">
    <w:name w:val="Titolo 5 Carattere"/>
    <w:basedOn w:val="Carpredefinitoparagrafo"/>
    <w:link w:val="Titolo5"/>
    <w:rsid w:val="00CE19A2"/>
    <w:rPr>
      <w:rFonts w:ascii="Times New Roman" w:eastAsia="Times New Roman" w:hAnsi="Times New Roman" w:cs="Times New Roman"/>
      <w:b/>
      <w:lang w:val="sv-SE" w:eastAsia="sv-SE"/>
    </w:rPr>
  </w:style>
  <w:style w:type="character" w:customStyle="1" w:styleId="Titolo6Carattere">
    <w:name w:val="Titolo 6 Carattere"/>
    <w:basedOn w:val="Carpredefinitoparagrafo"/>
    <w:link w:val="Titolo6"/>
    <w:rsid w:val="00CE19A2"/>
    <w:rPr>
      <w:rFonts w:ascii="Times New Roman" w:eastAsia="Times New Roman" w:hAnsi="Times New Roman" w:cs="Times New Roman"/>
      <w:b/>
      <w:sz w:val="20"/>
      <w:szCs w:val="20"/>
      <w:lang w:val="sv-SE" w:eastAsia="sv-SE"/>
    </w:rPr>
  </w:style>
  <w:style w:type="table" w:customStyle="1" w:styleId="TableNormal">
    <w:name w:val="Table Normal"/>
    <w:rsid w:val="00CE19A2"/>
    <w:pPr>
      <w:spacing w:after="0" w:line="240" w:lineRule="auto"/>
    </w:pPr>
    <w:rPr>
      <w:rFonts w:ascii="Times New Roman" w:eastAsia="Times New Roman" w:hAnsi="Times New Roman" w:cs="Times New Roman"/>
      <w:sz w:val="24"/>
      <w:szCs w:val="24"/>
      <w:lang w:val="sv-SE" w:eastAsia="sk-SK"/>
    </w:rPr>
    <w:tblPr>
      <w:tblCellMar>
        <w:top w:w="0" w:type="dxa"/>
        <w:left w:w="0" w:type="dxa"/>
        <w:bottom w:w="0" w:type="dxa"/>
        <w:right w:w="0" w:type="dxa"/>
      </w:tblCellMar>
    </w:tblPr>
  </w:style>
  <w:style w:type="paragraph" w:styleId="Titolo">
    <w:name w:val="Title"/>
    <w:basedOn w:val="Normale"/>
    <w:next w:val="Normale"/>
    <w:link w:val="TitoloCarattere"/>
    <w:rsid w:val="00CE19A2"/>
    <w:pPr>
      <w:keepNext/>
      <w:keepLines/>
      <w:spacing w:before="480" w:after="120" w:line="240" w:lineRule="auto"/>
    </w:pPr>
    <w:rPr>
      <w:rFonts w:ascii="Times New Roman" w:eastAsia="Times New Roman" w:hAnsi="Times New Roman" w:cs="Times New Roman"/>
      <w:b/>
      <w:sz w:val="72"/>
      <w:szCs w:val="72"/>
      <w:lang w:val="sv-SE" w:eastAsia="sv-SE"/>
    </w:rPr>
  </w:style>
  <w:style w:type="character" w:customStyle="1" w:styleId="TitoloCarattere">
    <w:name w:val="Titolo Carattere"/>
    <w:basedOn w:val="Carpredefinitoparagrafo"/>
    <w:link w:val="Titolo"/>
    <w:rsid w:val="00CE19A2"/>
    <w:rPr>
      <w:rFonts w:ascii="Times New Roman" w:eastAsia="Times New Roman" w:hAnsi="Times New Roman" w:cs="Times New Roman"/>
      <w:b/>
      <w:sz w:val="72"/>
      <w:szCs w:val="72"/>
      <w:lang w:val="sv-SE" w:eastAsia="sv-SE"/>
    </w:rPr>
  </w:style>
  <w:style w:type="character" w:styleId="Collegamentoipertestuale">
    <w:name w:val="Hyperlink"/>
    <w:basedOn w:val="Carpredefinitoparagrafo"/>
    <w:rsid w:val="00CE19A2"/>
    <w:rPr>
      <w:color w:val="0000FF"/>
      <w:u w:val="single"/>
    </w:rPr>
  </w:style>
  <w:style w:type="paragraph" w:styleId="Intestazione">
    <w:name w:val="header"/>
    <w:basedOn w:val="Normale"/>
    <w:link w:val="IntestazioneCarattere"/>
    <w:rsid w:val="00CE19A2"/>
    <w:pPr>
      <w:tabs>
        <w:tab w:val="center" w:pos="4536"/>
        <w:tab w:val="right" w:pos="9072"/>
      </w:tabs>
      <w:spacing w:after="0" w:line="240" w:lineRule="auto"/>
    </w:pPr>
    <w:rPr>
      <w:rFonts w:ascii="Times New Roman" w:eastAsia="Times New Roman" w:hAnsi="Times New Roman" w:cs="Times New Roman"/>
      <w:sz w:val="24"/>
      <w:szCs w:val="24"/>
      <w:lang w:val="sv-SE" w:eastAsia="sv-SE"/>
    </w:rPr>
  </w:style>
  <w:style w:type="character" w:customStyle="1" w:styleId="IntestazioneCarattere">
    <w:name w:val="Intestazione Carattere"/>
    <w:basedOn w:val="Carpredefinitoparagrafo"/>
    <w:link w:val="Intestazione"/>
    <w:rsid w:val="00CE19A2"/>
    <w:rPr>
      <w:rFonts w:ascii="Times New Roman" w:eastAsia="Times New Roman" w:hAnsi="Times New Roman" w:cs="Times New Roman"/>
      <w:sz w:val="24"/>
      <w:szCs w:val="24"/>
      <w:lang w:val="sv-SE" w:eastAsia="sv-SE"/>
    </w:rPr>
  </w:style>
  <w:style w:type="paragraph" w:styleId="Pidipagina">
    <w:name w:val="footer"/>
    <w:basedOn w:val="Normale"/>
    <w:link w:val="PidipaginaCarattere"/>
    <w:uiPriority w:val="99"/>
    <w:rsid w:val="00CE19A2"/>
    <w:pPr>
      <w:tabs>
        <w:tab w:val="center" w:pos="4536"/>
        <w:tab w:val="right" w:pos="9072"/>
      </w:tabs>
      <w:spacing w:after="0" w:line="240" w:lineRule="auto"/>
    </w:pPr>
    <w:rPr>
      <w:rFonts w:ascii="Times New Roman" w:eastAsia="Times New Roman" w:hAnsi="Times New Roman" w:cs="Times New Roman"/>
      <w:sz w:val="24"/>
      <w:szCs w:val="24"/>
      <w:lang w:val="sv-SE" w:eastAsia="sv-SE"/>
    </w:rPr>
  </w:style>
  <w:style w:type="character" w:customStyle="1" w:styleId="PidipaginaCarattere">
    <w:name w:val="Piè di pagina Carattere"/>
    <w:basedOn w:val="Carpredefinitoparagrafo"/>
    <w:link w:val="Pidipagina"/>
    <w:uiPriority w:val="99"/>
    <w:rsid w:val="00CE19A2"/>
    <w:rPr>
      <w:rFonts w:ascii="Times New Roman" w:eastAsia="Times New Roman" w:hAnsi="Times New Roman" w:cs="Times New Roman"/>
      <w:sz w:val="24"/>
      <w:szCs w:val="24"/>
      <w:lang w:val="sv-SE" w:eastAsia="sv-SE"/>
    </w:rPr>
  </w:style>
  <w:style w:type="character" w:customStyle="1" w:styleId="nowrap1">
    <w:name w:val="nowrap1"/>
    <w:basedOn w:val="Carpredefinitoparagrafo"/>
    <w:rsid w:val="00CE19A2"/>
  </w:style>
  <w:style w:type="character" w:styleId="Numeropagina">
    <w:name w:val="page number"/>
    <w:basedOn w:val="Carpredefinitoparagrafo"/>
    <w:rsid w:val="00CE19A2"/>
  </w:style>
  <w:style w:type="paragraph" w:styleId="Paragrafoelenco">
    <w:name w:val="List Paragraph"/>
    <w:basedOn w:val="Normale"/>
    <w:uiPriority w:val="34"/>
    <w:qFormat/>
    <w:rsid w:val="00CE19A2"/>
    <w:pPr>
      <w:spacing w:after="0" w:line="240" w:lineRule="auto"/>
      <w:ind w:left="720"/>
      <w:contextualSpacing/>
    </w:pPr>
    <w:rPr>
      <w:rFonts w:ascii="Times New Roman" w:eastAsia="Times New Roman" w:hAnsi="Times New Roman" w:cs="Times New Roman"/>
      <w:sz w:val="24"/>
      <w:szCs w:val="24"/>
      <w:lang w:val="sv-SE" w:eastAsia="sv-SE"/>
    </w:rPr>
  </w:style>
  <w:style w:type="character" w:styleId="Collegamentovisitato">
    <w:name w:val="FollowedHyperlink"/>
    <w:basedOn w:val="Carpredefinitoparagrafo"/>
    <w:uiPriority w:val="99"/>
    <w:semiHidden/>
    <w:unhideWhenUsed/>
    <w:rsid w:val="00CE19A2"/>
    <w:rPr>
      <w:color w:val="954F72" w:themeColor="followedHyperlink"/>
      <w:u w:val="single"/>
    </w:rPr>
  </w:style>
  <w:style w:type="character" w:styleId="Rimandocommento">
    <w:name w:val="annotation reference"/>
    <w:basedOn w:val="Carpredefinitoparagrafo"/>
    <w:uiPriority w:val="99"/>
    <w:semiHidden/>
    <w:unhideWhenUsed/>
    <w:rsid w:val="00CE19A2"/>
    <w:rPr>
      <w:sz w:val="16"/>
      <w:szCs w:val="16"/>
    </w:rPr>
  </w:style>
  <w:style w:type="paragraph" w:styleId="Testocommento">
    <w:name w:val="annotation text"/>
    <w:basedOn w:val="Normale"/>
    <w:link w:val="TestocommentoCarattere"/>
    <w:uiPriority w:val="99"/>
    <w:semiHidden/>
    <w:unhideWhenUsed/>
    <w:rsid w:val="00CE19A2"/>
    <w:pPr>
      <w:spacing w:after="0" w:line="240" w:lineRule="auto"/>
    </w:pPr>
    <w:rPr>
      <w:rFonts w:ascii="Times New Roman" w:eastAsia="Times New Roman" w:hAnsi="Times New Roman" w:cs="Times New Roman"/>
      <w:sz w:val="20"/>
      <w:szCs w:val="20"/>
      <w:lang w:val="sv-SE" w:eastAsia="sv-SE"/>
    </w:rPr>
  </w:style>
  <w:style w:type="character" w:customStyle="1" w:styleId="TestocommentoCarattere">
    <w:name w:val="Testo commento Carattere"/>
    <w:basedOn w:val="Carpredefinitoparagrafo"/>
    <w:link w:val="Testocommento"/>
    <w:uiPriority w:val="99"/>
    <w:semiHidden/>
    <w:rsid w:val="00CE19A2"/>
    <w:rPr>
      <w:rFonts w:ascii="Times New Roman" w:eastAsia="Times New Roman" w:hAnsi="Times New Roman" w:cs="Times New Roman"/>
      <w:sz w:val="20"/>
      <w:szCs w:val="20"/>
      <w:lang w:val="sv-SE" w:eastAsia="sv-SE"/>
    </w:rPr>
  </w:style>
  <w:style w:type="paragraph" w:styleId="Soggettocommento">
    <w:name w:val="annotation subject"/>
    <w:basedOn w:val="Testocommento"/>
    <w:next w:val="Testocommento"/>
    <w:link w:val="SoggettocommentoCarattere"/>
    <w:uiPriority w:val="99"/>
    <w:semiHidden/>
    <w:unhideWhenUsed/>
    <w:rsid w:val="00CE19A2"/>
    <w:rPr>
      <w:b/>
      <w:bCs/>
    </w:rPr>
  </w:style>
  <w:style w:type="character" w:customStyle="1" w:styleId="SoggettocommentoCarattere">
    <w:name w:val="Soggetto commento Carattere"/>
    <w:basedOn w:val="TestocommentoCarattere"/>
    <w:link w:val="Soggettocommento"/>
    <w:uiPriority w:val="99"/>
    <w:semiHidden/>
    <w:rsid w:val="00CE19A2"/>
    <w:rPr>
      <w:rFonts w:ascii="Times New Roman" w:eastAsia="Times New Roman" w:hAnsi="Times New Roman" w:cs="Times New Roman"/>
      <w:b/>
      <w:bCs/>
      <w:sz w:val="20"/>
      <w:szCs w:val="20"/>
      <w:lang w:val="sv-SE" w:eastAsia="sv-SE"/>
    </w:rPr>
  </w:style>
  <w:style w:type="paragraph" w:styleId="Testofumetto">
    <w:name w:val="Balloon Text"/>
    <w:basedOn w:val="Normale"/>
    <w:link w:val="TestofumettoCarattere"/>
    <w:uiPriority w:val="99"/>
    <w:semiHidden/>
    <w:unhideWhenUsed/>
    <w:rsid w:val="00CE19A2"/>
    <w:pPr>
      <w:spacing w:after="0" w:line="240" w:lineRule="auto"/>
    </w:pPr>
    <w:rPr>
      <w:rFonts w:ascii="Segoe UI" w:eastAsia="Times New Roman" w:hAnsi="Segoe UI" w:cs="Segoe UI"/>
      <w:sz w:val="18"/>
      <w:szCs w:val="18"/>
      <w:lang w:val="sv-SE" w:eastAsia="sv-SE"/>
    </w:rPr>
  </w:style>
  <w:style w:type="character" w:customStyle="1" w:styleId="TestofumettoCarattere">
    <w:name w:val="Testo fumetto Carattere"/>
    <w:basedOn w:val="Carpredefinitoparagrafo"/>
    <w:link w:val="Testofumetto"/>
    <w:uiPriority w:val="99"/>
    <w:semiHidden/>
    <w:rsid w:val="00CE19A2"/>
    <w:rPr>
      <w:rFonts w:ascii="Segoe UI" w:eastAsia="Times New Roman" w:hAnsi="Segoe UI" w:cs="Segoe UI"/>
      <w:sz w:val="18"/>
      <w:szCs w:val="18"/>
      <w:lang w:val="sv-SE" w:eastAsia="sv-SE"/>
    </w:rPr>
  </w:style>
  <w:style w:type="paragraph" w:styleId="Revisione">
    <w:name w:val="Revision"/>
    <w:hidden/>
    <w:uiPriority w:val="99"/>
    <w:semiHidden/>
    <w:rsid w:val="00CE19A2"/>
    <w:pPr>
      <w:spacing w:after="0" w:line="240" w:lineRule="auto"/>
    </w:pPr>
    <w:rPr>
      <w:rFonts w:ascii="Times New Roman" w:eastAsia="Times New Roman" w:hAnsi="Times New Roman" w:cs="Times New Roman"/>
      <w:sz w:val="24"/>
      <w:szCs w:val="24"/>
      <w:lang w:val="sv-SE" w:eastAsia="sv-SE"/>
    </w:rPr>
  </w:style>
  <w:style w:type="paragraph" w:styleId="Testonotaapidipagina">
    <w:name w:val="footnote text"/>
    <w:basedOn w:val="Normale"/>
    <w:link w:val="TestonotaapidipaginaCarattere"/>
    <w:uiPriority w:val="99"/>
    <w:semiHidden/>
    <w:unhideWhenUsed/>
    <w:rsid w:val="00CE19A2"/>
    <w:pPr>
      <w:spacing w:after="0" w:line="240" w:lineRule="auto"/>
    </w:pPr>
    <w:rPr>
      <w:rFonts w:ascii="Times New Roman" w:eastAsia="Times New Roman" w:hAnsi="Times New Roman" w:cs="Times New Roman"/>
      <w:sz w:val="20"/>
      <w:szCs w:val="20"/>
      <w:lang w:val="sv-SE" w:eastAsia="sv-SE"/>
    </w:rPr>
  </w:style>
  <w:style w:type="character" w:customStyle="1" w:styleId="TestonotaapidipaginaCarattere">
    <w:name w:val="Testo nota a piè di pagina Carattere"/>
    <w:basedOn w:val="Carpredefinitoparagrafo"/>
    <w:link w:val="Testonotaapidipagina"/>
    <w:uiPriority w:val="99"/>
    <w:semiHidden/>
    <w:rsid w:val="00CE19A2"/>
    <w:rPr>
      <w:rFonts w:ascii="Times New Roman" w:eastAsia="Times New Roman" w:hAnsi="Times New Roman" w:cs="Times New Roman"/>
      <w:sz w:val="20"/>
      <w:szCs w:val="20"/>
      <w:lang w:val="sv-SE" w:eastAsia="sv-SE"/>
    </w:rPr>
  </w:style>
  <w:style w:type="character" w:styleId="Rimandonotaapidipagina">
    <w:name w:val="footnote reference"/>
    <w:basedOn w:val="Carpredefinitoparagrafo"/>
    <w:uiPriority w:val="99"/>
    <w:semiHidden/>
    <w:unhideWhenUsed/>
    <w:rsid w:val="00CE19A2"/>
    <w:rPr>
      <w:vertAlign w:val="superscript"/>
    </w:rPr>
  </w:style>
  <w:style w:type="paragraph" w:styleId="Sottotitolo">
    <w:name w:val="Subtitle"/>
    <w:basedOn w:val="Normale"/>
    <w:next w:val="Normale"/>
    <w:link w:val="SottotitoloCarattere"/>
    <w:rsid w:val="00CE19A2"/>
    <w:pPr>
      <w:keepNext/>
      <w:keepLines/>
      <w:spacing w:before="360" w:after="80" w:line="240" w:lineRule="auto"/>
    </w:pPr>
    <w:rPr>
      <w:rFonts w:ascii="Georgia" w:eastAsia="Georgia" w:hAnsi="Georgia" w:cs="Georgia"/>
      <w:i/>
      <w:color w:val="666666"/>
      <w:sz w:val="48"/>
      <w:szCs w:val="48"/>
      <w:lang w:val="sv-SE" w:eastAsia="sv-SE"/>
    </w:rPr>
  </w:style>
  <w:style w:type="character" w:customStyle="1" w:styleId="SottotitoloCarattere">
    <w:name w:val="Sottotitolo Carattere"/>
    <w:basedOn w:val="Carpredefinitoparagrafo"/>
    <w:link w:val="Sottotitolo"/>
    <w:rsid w:val="00CE19A2"/>
    <w:rPr>
      <w:rFonts w:ascii="Georgia" w:eastAsia="Georgia" w:hAnsi="Georgia" w:cs="Georgia"/>
      <w:i/>
      <w:color w:val="666666"/>
      <w:sz w:val="48"/>
      <w:szCs w:val="48"/>
      <w:lang w:val="sv-SE" w:eastAsia="sv-SE"/>
    </w:rPr>
  </w:style>
  <w:style w:type="table" w:styleId="Grigliatabella">
    <w:name w:val="Table Grid"/>
    <w:basedOn w:val="Tabellanormale"/>
    <w:uiPriority w:val="39"/>
    <w:rsid w:val="00E91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D64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7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dult-learning.eu/en/project-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LaAHvqUKLtDJfsNBfb8cvEEjEg==">CgMxLjAyCGguZ2pkZ3hzOAByITExb3JvY1R1azFaSXAtQzlES0ZkWFN0S214NHB5RFRKLQ==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DCC2E3-AD8B-4E0A-9E37-7F521EEE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5746</Characters>
  <Application>Microsoft Office Word</Application>
  <DocSecurity>0</DocSecurity>
  <Lines>47</Lines>
  <Paragraphs>13</Paragraphs>
  <ScaleCrop>false</ScaleCrop>
  <HeadingPairs>
    <vt:vector size="4" baseType="variant">
      <vt:variant>
        <vt:lpstr>Titolo</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Šmálová</dc:creator>
  <cp:keywords/>
  <dc:description/>
  <cp:lastModifiedBy>Chiara Marchetta</cp:lastModifiedBy>
  <cp:revision>2</cp:revision>
  <dcterms:created xsi:type="dcterms:W3CDTF">2024-03-10T15:26:00Z</dcterms:created>
  <dcterms:modified xsi:type="dcterms:W3CDTF">2024-03-10T15:26:00Z</dcterms:modified>
</cp:coreProperties>
</file>